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7328E3E"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98-</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10</w:t>
      </w:r>
      <w:r w:rsidR="00612AEA">
        <w:rPr>
          <w:rFonts w:cs="Arial"/>
          <w:b/>
          <w:sz w:val="24"/>
          <w:szCs w:val="24"/>
        </w:rPr>
        <w:t>0543</w:t>
      </w:r>
    </w:p>
    <w:p w14:paraId="31DCE6A5" w14:textId="4636837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Pr>
          <w:b/>
          <w:sz w:val="24"/>
          <w:szCs w:val="24"/>
          <w:lang w:eastAsia="zh-CN"/>
        </w:rPr>
        <w:t>Jan. 25</w:t>
      </w:r>
      <w:r w:rsidRPr="00BF1228">
        <w:rPr>
          <w:b/>
          <w:sz w:val="24"/>
          <w:szCs w:val="24"/>
          <w:lang w:eastAsia="zh-CN"/>
        </w:rPr>
        <w:t>-</w:t>
      </w:r>
      <w:r>
        <w:rPr>
          <w:b/>
          <w:sz w:val="24"/>
          <w:szCs w:val="24"/>
          <w:lang w:eastAsia="zh-CN"/>
        </w:rPr>
        <w:t>Feb. 5</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C8D72E5"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E393A" w:rsidRPr="00DE393A">
        <w:rPr>
          <w:rFonts w:cs="Arial"/>
          <w:sz w:val="22"/>
        </w:rPr>
        <w:t xml:space="preserve">PC2 FDD RFFE </w:t>
      </w:r>
      <w:r w:rsidR="00DE393A">
        <w:rPr>
          <w:rFonts w:cs="Arial"/>
          <w:sz w:val="22"/>
        </w:rPr>
        <w:t>T</w:t>
      </w:r>
      <w:r w:rsidR="00DE393A" w:rsidRPr="00DE393A">
        <w:rPr>
          <w:rFonts w:cs="Arial"/>
          <w:sz w:val="22"/>
        </w:rPr>
        <w:t>echnology</w:t>
      </w:r>
      <w:r w:rsidR="00961FB2">
        <w:rPr>
          <w:rFonts w:cs="Arial"/>
          <w:sz w:val="22"/>
        </w:rPr>
        <w:t>,</w:t>
      </w:r>
      <w:r w:rsidR="00DE393A" w:rsidRPr="00DE393A">
        <w:rPr>
          <w:rFonts w:cs="Arial"/>
          <w:sz w:val="22"/>
        </w:rPr>
        <w:t xml:space="preserve"> </w:t>
      </w:r>
      <w:r w:rsidR="00E9530B">
        <w:rPr>
          <w:rFonts w:cs="Arial"/>
          <w:sz w:val="22"/>
        </w:rPr>
        <w:t xml:space="preserve">Performance, </w:t>
      </w:r>
      <w:r w:rsidR="00DE393A">
        <w:rPr>
          <w:rFonts w:cs="Arial"/>
          <w:sz w:val="22"/>
        </w:rPr>
        <w:t>T</w:t>
      </w:r>
      <w:r w:rsidR="00DE393A" w:rsidRPr="00DE393A">
        <w:rPr>
          <w:rFonts w:cs="Arial"/>
          <w:sz w:val="22"/>
        </w:rPr>
        <w:t>hermal</w:t>
      </w:r>
      <w:r w:rsidR="00E9530B">
        <w:rPr>
          <w:rFonts w:cs="Arial"/>
          <w:sz w:val="22"/>
        </w:rPr>
        <w:t xml:space="preserve"> and Power</w:t>
      </w:r>
      <w:r w:rsidR="00DE393A" w:rsidRPr="00DE393A">
        <w:rPr>
          <w:rFonts w:cs="Arial"/>
          <w:sz w:val="22"/>
        </w:rPr>
        <w:t xml:space="preserve"> </w:t>
      </w:r>
      <w:r w:rsidR="00DE393A">
        <w:rPr>
          <w:rFonts w:cs="Arial"/>
          <w:sz w:val="22"/>
        </w:rPr>
        <w:t>A</w:t>
      </w:r>
      <w:r w:rsidR="00DE393A" w:rsidRPr="00DE393A">
        <w:rPr>
          <w:rFonts w:cs="Arial"/>
          <w:sz w:val="22"/>
        </w:rPr>
        <w:t>spects</w:t>
      </w:r>
    </w:p>
    <w:p w14:paraId="73BCD5A1" w14:textId="3AF7D139"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C455F" w:rsidRPr="007C455F">
        <w:rPr>
          <w:rFonts w:ascii="Arial" w:hAnsi="Arial" w:cs="Arial"/>
          <w:sz w:val="22"/>
        </w:rPr>
        <w:t>12.5.4 UE implementation issues</w:t>
      </w:r>
      <w:r w:rsidR="007C455F">
        <w:rPr>
          <w:rFonts w:ascii="Arial" w:hAnsi="Arial" w:cs="Arial"/>
          <w:sz w:val="22"/>
        </w:rPr>
        <w:t xml:space="preserve"> </w:t>
      </w:r>
      <w:r w:rsidR="007C455F" w:rsidRPr="00CD5A36">
        <w:rPr>
          <w:rFonts w:ascii="Arial" w:eastAsia="SimSun" w:hAnsi="Arial" w:cs="Arial" w:hint="eastAsia"/>
          <w:sz w:val="21"/>
          <w:szCs w:val="21"/>
        </w:rPr>
        <w:t>[</w:t>
      </w:r>
      <w:r w:rsidR="007C455F" w:rsidRPr="00CD5A36">
        <w:rPr>
          <w:rFonts w:ascii="Arial" w:eastAsia="SimSun" w:hAnsi="Arial" w:cs="Arial"/>
          <w:sz w:val="21"/>
          <w:szCs w:val="21"/>
        </w:rPr>
        <w:t>FS_NR_PC2_UE_FDD</w:t>
      </w:r>
      <w:r w:rsidR="007C455F" w:rsidRPr="00CD5A36">
        <w:rPr>
          <w:rFonts w:ascii="Arial" w:eastAsia="SimSun" w:hAnsi="Arial" w:cs="Arial" w:hint="eastAsia"/>
          <w:sz w:val="21"/>
          <w:szCs w:val="21"/>
        </w:rPr>
        <w:t>]</w:t>
      </w:r>
      <w:r w:rsidR="007C455F">
        <w:rPr>
          <w:rFonts w:ascii="Arial" w:hAnsi="Arial" w:cs="Arial"/>
          <w:sz w:val="22"/>
        </w:rPr>
        <w:t xml:space="preserve"> </w:t>
      </w:r>
    </w:p>
    <w:p w14:paraId="2E5C6AEA" w14:textId="5551CB68"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51521">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2CE63B1"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154E81">
        <w:rPr>
          <w:rFonts w:eastAsia="SimSun"/>
          <w:lang w:eastAsia="zh-CN"/>
        </w:rPr>
        <w:t>#</w:t>
      </w:r>
      <w:r w:rsidR="008063BB">
        <w:rPr>
          <w:rFonts w:eastAsia="SimSun"/>
          <w:lang w:eastAsia="zh-CN"/>
        </w:rPr>
        <w:t>9</w:t>
      </w:r>
      <w:r w:rsidR="00B368CB">
        <w:rPr>
          <w:rFonts w:eastAsia="SimSun"/>
          <w:lang w:eastAsia="zh-CN"/>
        </w:rPr>
        <w:t>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a new work item was agreed [1]</w:t>
      </w:r>
      <w:r w:rsidR="003653A6">
        <w:rPr>
          <w:rFonts w:eastAsia="SimSun"/>
          <w:lang w:eastAsia="zh-CN"/>
        </w:rPr>
        <w:t xml:space="preserve"> </w:t>
      </w:r>
      <w:r w:rsidR="008907D4">
        <w:rPr>
          <w:rFonts w:eastAsia="SimSun"/>
          <w:lang w:eastAsia="zh-CN"/>
        </w:rPr>
        <w:t xml:space="preserve">upon </w:t>
      </w:r>
      <w:r w:rsidR="00363105">
        <w:rPr>
          <w:rFonts w:eastAsia="SimSun"/>
          <w:lang w:eastAsia="zh-CN"/>
        </w:rPr>
        <w:t xml:space="preserve">to introduce PC2 for FDD bands. </w:t>
      </w:r>
      <w:r w:rsidR="00B368CB">
        <w:rPr>
          <w:rFonts w:eastAsia="SimSun"/>
          <w:lang w:eastAsia="zh-CN"/>
        </w:rPr>
        <w:t xml:space="preserve">In this contribution we </w:t>
      </w:r>
      <w:r w:rsidR="00363105">
        <w:rPr>
          <w:rFonts w:eastAsia="SimSun"/>
          <w:lang w:eastAsia="zh-CN"/>
        </w:rPr>
        <w:t>study the impact</w:t>
      </w:r>
      <w:r w:rsidR="00612AEA">
        <w:rPr>
          <w:rFonts w:eastAsia="SimSun"/>
          <w:lang w:eastAsia="zh-CN"/>
        </w:rPr>
        <w:t xml:space="preserve"> PC2 operation</w:t>
      </w:r>
      <w:r w:rsidR="00363105">
        <w:rPr>
          <w:rFonts w:eastAsia="SimSun"/>
          <w:lang w:eastAsia="zh-CN"/>
        </w:rPr>
        <w:t xml:space="preserve"> on the RE front-end in terms of performance, reliability and thermal aspects.</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E598FEB" w14:textId="70C53AE5" w:rsidR="00961FB2" w:rsidRDefault="00961FB2" w:rsidP="00961FB2">
      <w:pPr>
        <w:rPr>
          <w:lang w:eastAsia="zh-CN"/>
        </w:rPr>
      </w:pPr>
      <w:r>
        <w:rPr>
          <w:lang w:eastAsia="zh-CN"/>
        </w:rPr>
        <w:t>Work item [1] objectives</w:t>
      </w:r>
      <w:r w:rsidR="00363105">
        <w:rPr>
          <w:lang w:eastAsia="zh-CN"/>
        </w:rPr>
        <w:t xml:space="preserve"> are copied here:</w:t>
      </w:r>
    </w:p>
    <w:p w14:paraId="36A46843" w14:textId="77777777" w:rsidR="00961FB2" w:rsidRPr="00961FB2" w:rsidRDefault="00961FB2" w:rsidP="00961FB2">
      <w:pPr>
        <w:spacing w:after="0"/>
        <w:rPr>
          <w:i/>
          <w:lang w:eastAsia="zh-CN"/>
        </w:rPr>
      </w:pPr>
      <w:r w:rsidRPr="00961FB2">
        <w:rPr>
          <w:i/>
        </w:rPr>
        <w:t>The objective</w:t>
      </w:r>
      <w:r w:rsidRPr="00961FB2">
        <w:rPr>
          <w:rFonts w:hint="eastAsia"/>
          <w:i/>
        </w:rPr>
        <w:t>s</w:t>
      </w:r>
      <w:r w:rsidRPr="00961FB2">
        <w:rPr>
          <w:i/>
        </w:rPr>
        <w:t xml:space="preserve"> of the </w:t>
      </w:r>
      <w:r w:rsidRPr="00961FB2">
        <w:rPr>
          <w:rFonts w:hint="eastAsia"/>
          <w:i/>
        </w:rPr>
        <w:t>core part are as follows:</w:t>
      </w:r>
    </w:p>
    <w:p w14:paraId="5C40AB47" w14:textId="77777777" w:rsidR="00961FB2" w:rsidRPr="00961FB2" w:rsidRDefault="00961FB2" w:rsidP="001C3D53">
      <w:pPr>
        <w:numPr>
          <w:ilvl w:val="0"/>
          <w:numId w:val="10"/>
        </w:numPr>
        <w:spacing w:after="0"/>
        <w:jc w:val="both"/>
        <w:rPr>
          <w:i/>
          <w:lang w:eastAsia="zh-CN"/>
        </w:rPr>
      </w:pPr>
      <w:r w:rsidRPr="00961FB2">
        <w:rPr>
          <w:i/>
          <w:lang w:eastAsia="zh-CN"/>
        </w:rPr>
        <w:t>Study</w:t>
      </w:r>
      <w:r w:rsidRPr="00961FB2">
        <w:rPr>
          <w:rFonts w:hint="eastAsia"/>
          <w:i/>
          <w:lang w:eastAsia="zh-CN"/>
        </w:rPr>
        <w:t xml:space="preserve"> the applicable scheme</w:t>
      </w:r>
      <w:r w:rsidRPr="00961FB2">
        <w:rPr>
          <w:i/>
          <w:lang w:eastAsia="zh-CN"/>
        </w:rPr>
        <w:t>(s)</w:t>
      </w:r>
      <w:r w:rsidRPr="00961FB2">
        <w:rPr>
          <w:rFonts w:hint="eastAsia"/>
          <w:i/>
          <w:lang w:eastAsia="zh-CN"/>
        </w:rPr>
        <w:t xml:space="preserve"> for new power class 2 UE for </w:t>
      </w:r>
      <w:r w:rsidRPr="00961FB2">
        <w:rPr>
          <w:i/>
          <w:lang w:eastAsia="zh-CN"/>
        </w:rPr>
        <w:t xml:space="preserve">one </w:t>
      </w:r>
      <w:r w:rsidRPr="00961FB2">
        <w:rPr>
          <w:rFonts w:hint="eastAsia"/>
          <w:i/>
          <w:lang w:eastAsia="zh-CN"/>
        </w:rPr>
        <w:t xml:space="preserve">NR </w:t>
      </w:r>
      <w:r w:rsidRPr="00961FB2">
        <w:rPr>
          <w:i/>
          <w:lang w:eastAsia="zh-CN"/>
        </w:rPr>
        <w:t>FDD</w:t>
      </w:r>
      <w:r w:rsidRPr="00961FB2">
        <w:rPr>
          <w:rFonts w:hint="eastAsia"/>
          <w:i/>
          <w:lang w:eastAsia="zh-CN"/>
        </w:rPr>
        <w:t xml:space="preserve"> band to comply with the SAR limits </w:t>
      </w:r>
      <w:r w:rsidRPr="00961FB2">
        <w:rPr>
          <w:i/>
          <w:lang w:eastAsia="zh-CN"/>
        </w:rPr>
        <w:t xml:space="preserve">with 26dBm UE </w:t>
      </w:r>
      <w:proofErr w:type="spellStart"/>
      <w:proofErr w:type="gramStart"/>
      <w:r w:rsidRPr="00961FB2">
        <w:rPr>
          <w:i/>
          <w:lang w:eastAsia="zh-CN"/>
        </w:rPr>
        <w:t>Tx</w:t>
      </w:r>
      <w:proofErr w:type="spellEnd"/>
      <w:proofErr w:type="gramEnd"/>
      <w:r w:rsidRPr="00961FB2">
        <w:rPr>
          <w:i/>
          <w:lang w:eastAsia="zh-CN"/>
        </w:rPr>
        <w:t xml:space="preserve"> power, the example band for this study is NR band n1 and n3</w:t>
      </w:r>
      <w:r w:rsidRPr="00961FB2">
        <w:rPr>
          <w:rFonts w:hint="eastAsia"/>
          <w:i/>
          <w:lang w:eastAsia="zh-CN"/>
        </w:rPr>
        <w:t xml:space="preserve">. </w:t>
      </w:r>
    </w:p>
    <w:p w14:paraId="37F7B3EF" w14:textId="77777777" w:rsidR="00961FB2" w:rsidRPr="00961FB2" w:rsidRDefault="00961FB2" w:rsidP="001C3D53">
      <w:pPr>
        <w:numPr>
          <w:ilvl w:val="1"/>
          <w:numId w:val="10"/>
        </w:numPr>
        <w:spacing w:after="0"/>
        <w:jc w:val="both"/>
        <w:rPr>
          <w:i/>
          <w:lang w:eastAsia="zh-CN"/>
        </w:rPr>
      </w:pPr>
      <w:r w:rsidRPr="00961FB2">
        <w:rPr>
          <w:i/>
          <w:lang w:eastAsia="zh-CN"/>
        </w:rPr>
        <w:t>Study candidate SAR solutions, e.g. P-MPR, duty cycle capability, etc.</w:t>
      </w:r>
    </w:p>
    <w:p w14:paraId="34BEBC4E" w14:textId="77777777" w:rsidR="00961FB2" w:rsidRPr="00961FB2" w:rsidRDefault="00961FB2" w:rsidP="001C3D53">
      <w:pPr>
        <w:numPr>
          <w:ilvl w:val="1"/>
          <w:numId w:val="10"/>
        </w:numPr>
        <w:spacing w:after="0"/>
        <w:jc w:val="both"/>
        <w:rPr>
          <w:i/>
          <w:lang w:eastAsia="zh-CN"/>
        </w:rPr>
      </w:pPr>
      <w:r w:rsidRPr="00961FB2">
        <w:rPr>
          <w:i/>
          <w:lang w:eastAsia="zh-CN"/>
        </w:rPr>
        <w:t xml:space="preserve">Study regulatory requirements related to 26dBm </w:t>
      </w:r>
      <w:proofErr w:type="spellStart"/>
      <w:proofErr w:type="gramStart"/>
      <w:r w:rsidRPr="00961FB2">
        <w:rPr>
          <w:i/>
          <w:lang w:eastAsia="zh-CN"/>
        </w:rPr>
        <w:t>Tx</w:t>
      </w:r>
      <w:proofErr w:type="spellEnd"/>
      <w:proofErr w:type="gramEnd"/>
      <w:r w:rsidRPr="00961FB2">
        <w:rPr>
          <w:i/>
          <w:lang w:eastAsia="zh-CN"/>
        </w:rPr>
        <w:t xml:space="preserve"> power in FDD bands including SAR.</w:t>
      </w:r>
    </w:p>
    <w:p w14:paraId="144AC612" w14:textId="77777777" w:rsidR="00961FB2" w:rsidRPr="00961FB2" w:rsidRDefault="00961FB2" w:rsidP="00961FB2">
      <w:pPr>
        <w:spacing w:after="0"/>
        <w:ind w:left="1080"/>
        <w:jc w:val="both"/>
        <w:rPr>
          <w:i/>
          <w:lang w:eastAsia="zh-CN"/>
        </w:rPr>
      </w:pPr>
      <w:r w:rsidRPr="00961FB2">
        <w:rPr>
          <w:rFonts w:hint="eastAsia"/>
          <w:i/>
          <w:lang w:eastAsia="zh-CN"/>
        </w:rPr>
        <w:t>N</w:t>
      </w:r>
      <w:r w:rsidRPr="00961FB2">
        <w:rPr>
          <w:i/>
          <w:lang w:eastAsia="zh-CN"/>
        </w:rPr>
        <w:t>ote: Prioritize studies for the existing SAR solutions.</w:t>
      </w:r>
    </w:p>
    <w:p w14:paraId="139D49D4" w14:textId="77777777" w:rsidR="00961FB2" w:rsidRPr="00961FB2" w:rsidRDefault="00961FB2" w:rsidP="001C3D53">
      <w:pPr>
        <w:numPr>
          <w:ilvl w:val="0"/>
          <w:numId w:val="10"/>
        </w:numPr>
        <w:spacing w:after="0"/>
        <w:jc w:val="both"/>
        <w:rPr>
          <w:i/>
          <w:lang w:eastAsia="zh-CN"/>
        </w:rPr>
      </w:pPr>
      <w:r w:rsidRPr="00961FB2">
        <w:rPr>
          <w:rFonts w:hint="eastAsia"/>
          <w:i/>
          <w:lang w:eastAsia="zh-CN"/>
        </w:rPr>
        <w:t>S</w:t>
      </w:r>
      <w:r w:rsidRPr="00961FB2">
        <w:rPr>
          <w:i/>
          <w:lang w:eastAsia="zh-CN"/>
        </w:rPr>
        <w:t>tudy interference issues (e.g. self-</w:t>
      </w:r>
      <w:proofErr w:type="spellStart"/>
      <w:r w:rsidRPr="00961FB2">
        <w:rPr>
          <w:i/>
          <w:lang w:eastAsia="zh-CN"/>
        </w:rPr>
        <w:t>desense</w:t>
      </w:r>
      <w:proofErr w:type="spellEnd"/>
      <w:r w:rsidRPr="00961FB2">
        <w:rPr>
          <w:i/>
          <w:lang w:eastAsia="zh-CN"/>
        </w:rPr>
        <w:t xml:space="preserve">, cross device coexistence…). </w:t>
      </w:r>
    </w:p>
    <w:p w14:paraId="142600B7" w14:textId="77777777" w:rsidR="00961FB2" w:rsidRPr="00961FB2" w:rsidRDefault="00961FB2" w:rsidP="001C3D53">
      <w:pPr>
        <w:numPr>
          <w:ilvl w:val="1"/>
          <w:numId w:val="10"/>
        </w:numPr>
        <w:spacing w:after="0"/>
        <w:jc w:val="both"/>
        <w:rPr>
          <w:i/>
          <w:lang w:eastAsia="zh-CN"/>
        </w:rPr>
      </w:pPr>
      <w:r w:rsidRPr="00961FB2">
        <w:rPr>
          <w:i/>
          <w:lang w:eastAsia="zh-CN"/>
        </w:rPr>
        <w:t>Study RF requirements for PC2 UE in FDD band, including self-</w:t>
      </w:r>
      <w:proofErr w:type="spellStart"/>
      <w:r w:rsidRPr="00961FB2">
        <w:rPr>
          <w:i/>
          <w:lang w:eastAsia="zh-CN"/>
        </w:rPr>
        <w:t>desense</w:t>
      </w:r>
      <w:proofErr w:type="spellEnd"/>
      <w:r w:rsidRPr="00961FB2">
        <w:rPr>
          <w:i/>
          <w:lang w:eastAsia="zh-CN"/>
        </w:rPr>
        <w:t xml:space="preserve"> requirements, </w:t>
      </w:r>
      <w:proofErr w:type="spellStart"/>
      <w:proofErr w:type="gramStart"/>
      <w:r w:rsidRPr="00961FB2">
        <w:rPr>
          <w:i/>
          <w:lang w:eastAsia="zh-CN"/>
        </w:rPr>
        <w:t>Tx</w:t>
      </w:r>
      <w:proofErr w:type="spellEnd"/>
      <w:proofErr w:type="gramEnd"/>
      <w:r w:rsidRPr="00961FB2">
        <w:rPr>
          <w:i/>
          <w:lang w:eastAsia="zh-CN"/>
        </w:rPr>
        <w:t xml:space="preserve"> requirements such as A-MPR, and so on.</w:t>
      </w:r>
    </w:p>
    <w:p w14:paraId="10F636E3" w14:textId="77777777" w:rsidR="00961FB2" w:rsidRPr="00961FB2" w:rsidRDefault="00961FB2" w:rsidP="001C3D53">
      <w:pPr>
        <w:numPr>
          <w:ilvl w:val="1"/>
          <w:numId w:val="10"/>
        </w:numPr>
        <w:spacing w:after="0"/>
        <w:jc w:val="both"/>
        <w:rPr>
          <w:i/>
          <w:lang w:eastAsia="zh-CN"/>
        </w:rPr>
      </w:pPr>
      <w:r w:rsidRPr="00961FB2">
        <w:rPr>
          <w:i/>
          <w:lang w:eastAsia="zh-CN"/>
        </w:rPr>
        <w:t>Study adjacent channel co-existence for FDD band.</w:t>
      </w:r>
    </w:p>
    <w:p w14:paraId="50A4641A" w14:textId="77777777" w:rsidR="00961FB2" w:rsidRPr="00961FB2" w:rsidRDefault="00961FB2" w:rsidP="001C3D53">
      <w:pPr>
        <w:numPr>
          <w:ilvl w:val="1"/>
          <w:numId w:val="10"/>
        </w:numPr>
        <w:spacing w:after="0"/>
        <w:jc w:val="both"/>
        <w:rPr>
          <w:i/>
          <w:lang w:eastAsia="zh-CN"/>
        </w:rPr>
      </w:pPr>
      <w:r w:rsidRPr="00961FB2">
        <w:rPr>
          <w:i/>
          <w:lang w:eastAsia="zh-CN"/>
        </w:rPr>
        <w:t>Investigate issues related to in-device interference, if identified.</w:t>
      </w:r>
    </w:p>
    <w:p w14:paraId="4DA117C8" w14:textId="77777777" w:rsidR="00961FB2" w:rsidRPr="00961FB2" w:rsidRDefault="00961FB2" w:rsidP="001C3D53">
      <w:pPr>
        <w:numPr>
          <w:ilvl w:val="0"/>
          <w:numId w:val="10"/>
        </w:numPr>
        <w:spacing w:after="0"/>
        <w:jc w:val="both"/>
        <w:rPr>
          <w:i/>
          <w:lang w:eastAsia="zh-CN"/>
        </w:rPr>
      </w:pPr>
      <w:r w:rsidRPr="00961FB2">
        <w:rPr>
          <w:i/>
          <w:lang w:eastAsia="zh-CN"/>
        </w:rPr>
        <w:t>Study UE implementation related issues such as RF component feasibility to support 26dBm output power in band n1 and n3 at first. Other example FDD bands are not precluded, if needed.</w:t>
      </w:r>
    </w:p>
    <w:p w14:paraId="381A216F" w14:textId="77777777" w:rsidR="00961FB2" w:rsidRPr="00363105" w:rsidRDefault="00961FB2" w:rsidP="00794F29">
      <w:pPr>
        <w:pStyle w:val="ListParagraph"/>
        <w:numPr>
          <w:ilvl w:val="0"/>
          <w:numId w:val="10"/>
        </w:numPr>
        <w:overflowPunct/>
        <w:autoSpaceDE/>
        <w:autoSpaceDN/>
        <w:adjustRightInd/>
        <w:spacing w:beforeLines="50" w:before="120" w:after="0"/>
        <w:jc w:val="both"/>
        <w:textAlignment w:val="auto"/>
        <w:rPr>
          <w:rFonts w:eastAsia="Wingdings"/>
          <w:i/>
          <w:lang w:eastAsia="zh-CN"/>
        </w:rPr>
      </w:pPr>
      <w:r w:rsidRPr="00961FB2">
        <w:rPr>
          <w:rFonts w:eastAsia="MS Mincho"/>
          <w:i/>
          <w:lang w:eastAsia="ja-JP"/>
        </w:rPr>
        <w:t>Evaluate system performance gains on spectrum efficiency, and other metrics if needed could also be taken into account, to support NR FDD HPUE</w:t>
      </w:r>
      <w:r w:rsidRPr="00961FB2">
        <w:rPr>
          <w:rFonts w:eastAsia="Arial Unicode MS"/>
          <w:i/>
          <w:lang w:eastAsia="zh-CN"/>
        </w:rPr>
        <w:t>.</w:t>
      </w:r>
    </w:p>
    <w:p w14:paraId="6A5C643C" w14:textId="4D30FCCD" w:rsidR="00363105" w:rsidRDefault="00363105" w:rsidP="00363105">
      <w:pPr>
        <w:overflowPunct/>
        <w:autoSpaceDE/>
        <w:autoSpaceDN/>
        <w:adjustRightInd/>
        <w:spacing w:beforeLines="50" w:before="120" w:after="0"/>
        <w:jc w:val="both"/>
        <w:textAlignment w:val="auto"/>
        <w:rPr>
          <w:rFonts w:eastAsia="Wingdings"/>
          <w:lang w:eastAsia="zh-CN"/>
        </w:rPr>
      </w:pPr>
      <w:r>
        <w:rPr>
          <w:rFonts w:eastAsia="Wingdings"/>
          <w:lang w:eastAsia="zh-CN"/>
        </w:rPr>
        <w:t>It is c</w:t>
      </w:r>
      <w:r w:rsidR="00F34C71">
        <w:rPr>
          <w:rFonts w:eastAsia="Wingdings"/>
          <w:lang w:eastAsia="zh-CN"/>
        </w:rPr>
        <w:t xml:space="preserve">lear that most </w:t>
      </w:r>
      <w:r w:rsidR="008907D4">
        <w:rPr>
          <w:rFonts w:eastAsia="Wingdings"/>
          <w:lang w:eastAsia="zh-CN"/>
        </w:rPr>
        <w:t xml:space="preserve">of </w:t>
      </w:r>
      <w:r w:rsidR="00F34C71">
        <w:rPr>
          <w:rFonts w:eastAsia="Wingdings"/>
          <w:lang w:eastAsia="zh-CN"/>
        </w:rPr>
        <w:t xml:space="preserve">these objectives </w:t>
      </w:r>
      <w:r>
        <w:rPr>
          <w:rFonts w:eastAsia="Wingdings"/>
          <w:lang w:eastAsia="zh-CN"/>
        </w:rPr>
        <w:t>impact</w:t>
      </w:r>
      <w:r w:rsidR="008907D4">
        <w:rPr>
          <w:rFonts w:eastAsia="Wingdings"/>
          <w:lang w:eastAsia="zh-CN"/>
        </w:rPr>
        <w:t>ing</w:t>
      </w:r>
      <w:r>
        <w:rPr>
          <w:rFonts w:eastAsia="Wingdings"/>
          <w:lang w:eastAsia="zh-CN"/>
        </w:rPr>
        <w:t xml:space="preserve"> the UE</w:t>
      </w:r>
      <w:r w:rsidR="00F34C71">
        <w:rPr>
          <w:rFonts w:eastAsia="Wingdings"/>
          <w:lang w:eastAsia="zh-CN"/>
        </w:rPr>
        <w:t xml:space="preserve"> design</w:t>
      </w:r>
      <w:r>
        <w:rPr>
          <w:rFonts w:eastAsia="Wingdings"/>
          <w:lang w:eastAsia="zh-CN"/>
        </w:rPr>
        <w:t xml:space="preserve"> are related to the RF front-end technology and its ability to maintain performance at 3dB higher power. Although PC2 is already proven for TDD bands, it is under a well-defined duty-cycle regime that enables to gage the thermal and reliability behavior of the RF FE components, so the management of the SAR aspects of </w:t>
      </w:r>
      <w:r w:rsidR="008907D4">
        <w:rPr>
          <w:rFonts w:eastAsia="Wingdings"/>
          <w:lang w:eastAsia="zh-CN"/>
        </w:rPr>
        <w:t>O</w:t>
      </w:r>
      <w:r>
        <w:rPr>
          <w:rFonts w:eastAsia="Wingdings"/>
          <w:lang w:eastAsia="zh-CN"/>
        </w:rPr>
        <w:t>bjecti</w:t>
      </w:r>
      <w:r w:rsidR="00F34C71">
        <w:rPr>
          <w:rFonts w:eastAsia="Wingdings"/>
          <w:lang w:eastAsia="zh-CN"/>
        </w:rPr>
        <w:t>ve 1 will greatly influence the feasibility of the RF FE components.</w:t>
      </w:r>
    </w:p>
    <w:p w14:paraId="5EDBF52C" w14:textId="29C61D54" w:rsidR="00F34C71" w:rsidRDefault="00F34C71" w:rsidP="00363105">
      <w:pPr>
        <w:overflowPunct/>
        <w:autoSpaceDE/>
        <w:autoSpaceDN/>
        <w:adjustRightInd/>
        <w:spacing w:beforeLines="50" w:before="120" w:after="0"/>
        <w:jc w:val="both"/>
        <w:textAlignment w:val="auto"/>
        <w:rPr>
          <w:rFonts w:eastAsia="Wingdings"/>
          <w:lang w:eastAsia="zh-CN"/>
        </w:rPr>
      </w:pPr>
      <w:r>
        <w:rPr>
          <w:rFonts w:eastAsia="Wingdings"/>
          <w:lang w:eastAsia="zh-CN"/>
        </w:rPr>
        <w:t xml:space="preserve">Compared to </w:t>
      </w:r>
      <w:r w:rsidR="008907D4">
        <w:rPr>
          <w:rFonts w:eastAsia="Wingdings"/>
          <w:lang w:eastAsia="zh-CN"/>
        </w:rPr>
        <w:t xml:space="preserve">PC2 </w:t>
      </w:r>
      <w:r>
        <w:rPr>
          <w:rFonts w:eastAsia="Wingdings"/>
          <w:lang w:eastAsia="zh-CN"/>
        </w:rPr>
        <w:t>TDD</w:t>
      </w:r>
      <w:r w:rsidR="008907D4">
        <w:rPr>
          <w:rFonts w:eastAsia="Wingdings"/>
          <w:lang w:eastAsia="zh-CN"/>
        </w:rPr>
        <w:t>,</w:t>
      </w:r>
      <w:r>
        <w:rPr>
          <w:rFonts w:eastAsia="Wingdings"/>
          <w:lang w:eastAsia="zh-CN"/>
        </w:rPr>
        <w:t xml:space="preserve"> it should also be noticed that the filter technology is more critical for FDD bands where higher Q, tighter thermal control is needed for band</w:t>
      </w:r>
      <w:r w:rsidR="008907D4">
        <w:rPr>
          <w:rFonts w:eastAsia="Wingdings"/>
          <w:lang w:eastAsia="zh-CN"/>
        </w:rPr>
        <w:t>s</w:t>
      </w:r>
      <w:r>
        <w:rPr>
          <w:rFonts w:eastAsia="Wingdings"/>
          <w:lang w:eastAsia="zh-CN"/>
        </w:rPr>
        <w:t xml:space="preserve"> with short duplex distances and gaps. In that respect, out of the example bands only band 3 is of significance since band 1 with its larger duplex distance is relatively easy. </w:t>
      </w:r>
      <w:r w:rsidR="00335E1F">
        <w:rPr>
          <w:rFonts w:eastAsia="Wingdings"/>
          <w:lang w:eastAsia="zh-CN"/>
        </w:rPr>
        <w:t xml:space="preserve">But low </w:t>
      </w:r>
      <w:r w:rsidR="008907D4">
        <w:rPr>
          <w:rFonts w:eastAsia="Wingdings"/>
          <w:lang w:eastAsia="zh-CN"/>
        </w:rPr>
        <w:t xml:space="preserve">FDD bands </w:t>
      </w:r>
      <w:r w:rsidR="00335E1F">
        <w:rPr>
          <w:rFonts w:eastAsia="Wingdings"/>
          <w:lang w:eastAsia="zh-CN"/>
        </w:rPr>
        <w:t>are also a concern.</w:t>
      </w:r>
    </w:p>
    <w:p w14:paraId="7D96DA52" w14:textId="5F534F40" w:rsidR="00F34C71" w:rsidRPr="00F34C71" w:rsidRDefault="00F34C71" w:rsidP="00363105">
      <w:pPr>
        <w:overflowPunct/>
        <w:autoSpaceDE/>
        <w:autoSpaceDN/>
        <w:adjustRightInd/>
        <w:spacing w:beforeLines="50" w:before="120" w:after="0"/>
        <w:jc w:val="both"/>
        <w:textAlignment w:val="auto"/>
        <w:rPr>
          <w:rFonts w:eastAsia="Wingdings"/>
          <w:b/>
          <w:lang w:eastAsia="zh-CN"/>
        </w:rPr>
      </w:pPr>
      <w:r w:rsidRPr="00F34C71">
        <w:rPr>
          <w:rFonts w:eastAsia="Wingdings"/>
          <w:b/>
          <w:lang w:eastAsia="zh-CN"/>
        </w:rPr>
        <w:t>Observation</w:t>
      </w:r>
      <w:r>
        <w:rPr>
          <w:rFonts w:eastAsia="Wingdings"/>
          <w:b/>
          <w:lang w:eastAsia="zh-CN"/>
        </w:rPr>
        <w:t>s</w:t>
      </w:r>
      <w:r w:rsidRPr="00F34C71">
        <w:rPr>
          <w:rFonts w:eastAsia="Wingdings"/>
          <w:b/>
          <w:lang w:eastAsia="zh-CN"/>
        </w:rPr>
        <w:t>:</w:t>
      </w:r>
    </w:p>
    <w:p w14:paraId="548A51CC" w14:textId="2C4059D9" w:rsidR="00F34C71" w:rsidRPr="00F34C71" w:rsidRDefault="00F34C71" w:rsidP="00794F29">
      <w:pPr>
        <w:pStyle w:val="ListParagraph"/>
        <w:numPr>
          <w:ilvl w:val="0"/>
          <w:numId w:val="11"/>
        </w:numPr>
        <w:overflowPunct/>
        <w:autoSpaceDE/>
        <w:autoSpaceDN/>
        <w:adjustRightInd/>
        <w:spacing w:beforeLines="50" w:before="120" w:after="0"/>
        <w:jc w:val="both"/>
        <w:textAlignment w:val="auto"/>
        <w:rPr>
          <w:rFonts w:eastAsia="Wingdings"/>
          <w:b/>
          <w:lang w:eastAsia="zh-CN"/>
        </w:rPr>
      </w:pPr>
      <w:r w:rsidRPr="00F34C71">
        <w:rPr>
          <w:rFonts w:eastAsia="Wingdings"/>
          <w:b/>
          <w:lang w:eastAsia="zh-CN"/>
        </w:rPr>
        <w:t>Duplexer technology is critical for PC2 FDD band performance and feasibility</w:t>
      </w:r>
      <w:r w:rsidR="00335E1F">
        <w:rPr>
          <w:rFonts w:eastAsia="Wingdings"/>
          <w:b/>
          <w:lang w:eastAsia="zh-CN"/>
        </w:rPr>
        <w:t xml:space="preserve"> and heavily depends on </w:t>
      </w:r>
      <w:r w:rsidR="005862DD">
        <w:rPr>
          <w:rFonts w:eastAsia="Wingdings"/>
          <w:b/>
          <w:lang w:eastAsia="zh-CN"/>
        </w:rPr>
        <w:t>thermal aspects</w:t>
      </w:r>
    </w:p>
    <w:p w14:paraId="3C785D3D" w14:textId="5EDDB2B9" w:rsidR="00F34C71" w:rsidRDefault="00F34C71" w:rsidP="001C3D53">
      <w:pPr>
        <w:pStyle w:val="ListParagraph"/>
        <w:numPr>
          <w:ilvl w:val="0"/>
          <w:numId w:val="11"/>
        </w:numPr>
        <w:overflowPunct/>
        <w:autoSpaceDE/>
        <w:autoSpaceDN/>
        <w:adjustRightInd/>
        <w:spacing w:beforeLines="50" w:before="120" w:after="0"/>
        <w:jc w:val="both"/>
        <w:textAlignment w:val="auto"/>
        <w:rPr>
          <w:rFonts w:eastAsia="Wingdings"/>
          <w:b/>
          <w:lang w:eastAsia="zh-CN"/>
        </w:rPr>
      </w:pPr>
      <w:r w:rsidRPr="00F34C71">
        <w:rPr>
          <w:rFonts w:eastAsia="Wingdings"/>
          <w:b/>
          <w:lang w:eastAsia="zh-CN"/>
        </w:rPr>
        <w:t>Example bands should focus on small duplex distance and gap</w:t>
      </w:r>
      <w:r w:rsidR="00335E1F">
        <w:rPr>
          <w:rFonts w:eastAsia="Wingdings"/>
          <w:b/>
          <w:lang w:eastAsia="zh-CN"/>
        </w:rPr>
        <w:t xml:space="preserve"> and cases with high insertion losses from a thermal point of view</w:t>
      </w:r>
    </w:p>
    <w:p w14:paraId="1A1446A2" w14:textId="75ED7046" w:rsidR="00F34C71" w:rsidRDefault="00335E1F" w:rsidP="001C3D53">
      <w:pPr>
        <w:pStyle w:val="ListParagraph"/>
        <w:numPr>
          <w:ilvl w:val="1"/>
          <w:numId w:val="11"/>
        </w:numPr>
        <w:overflowPunct/>
        <w:autoSpaceDE/>
        <w:autoSpaceDN/>
        <w:adjustRightInd/>
        <w:spacing w:beforeLines="50" w:before="120" w:after="0"/>
        <w:jc w:val="both"/>
        <w:textAlignment w:val="auto"/>
        <w:rPr>
          <w:rFonts w:eastAsia="Wingdings"/>
          <w:b/>
          <w:lang w:eastAsia="zh-CN"/>
        </w:rPr>
      </w:pPr>
      <w:r>
        <w:rPr>
          <w:rFonts w:eastAsia="Wingdings"/>
          <w:b/>
          <w:lang w:eastAsia="zh-CN"/>
        </w:rPr>
        <w:t>Band 3 should be the focus instead of band 1</w:t>
      </w:r>
    </w:p>
    <w:p w14:paraId="06975734" w14:textId="4737FB0A" w:rsidR="00335E1F" w:rsidRDefault="00335E1F" w:rsidP="001C3D53">
      <w:pPr>
        <w:pStyle w:val="ListParagraph"/>
        <w:numPr>
          <w:ilvl w:val="1"/>
          <w:numId w:val="11"/>
        </w:numPr>
        <w:overflowPunct/>
        <w:autoSpaceDE/>
        <w:autoSpaceDN/>
        <w:adjustRightInd/>
        <w:spacing w:beforeLines="50" w:before="120" w:after="0"/>
        <w:jc w:val="both"/>
        <w:textAlignment w:val="auto"/>
        <w:rPr>
          <w:rFonts w:eastAsia="Wingdings"/>
          <w:b/>
          <w:lang w:eastAsia="zh-CN"/>
        </w:rPr>
      </w:pPr>
      <w:r>
        <w:rPr>
          <w:rFonts w:eastAsia="Wingdings"/>
          <w:b/>
          <w:lang w:eastAsia="zh-CN"/>
        </w:rPr>
        <w:t xml:space="preserve">Low </w:t>
      </w:r>
      <w:r w:rsidR="008907D4">
        <w:rPr>
          <w:rFonts w:eastAsia="Wingdings"/>
          <w:b/>
          <w:lang w:eastAsia="zh-CN"/>
        </w:rPr>
        <w:t xml:space="preserve">FDD </w:t>
      </w:r>
      <w:r>
        <w:rPr>
          <w:rFonts w:eastAsia="Wingdings"/>
          <w:b/>
          <w:lang w:eastAsia="zh-CN"/>
        </w:rPr>
        <w:t xml:space="preserve">band </w:t>
      </w:r>
      <w:r w:rsidR="008907D4">
        <w:rPr>
          <w:rFonts w:eastAsia="Wingdings"/>
          <w:b/>
          <w:lang w:eastAsia="zh-CN"/>
        </w:rPr>
        <w:t xml:space="preserve">for </w:t>
      </w:r>
      <w:r w:rsidR="00847BE2">
        <w:rPr>
          <w:rFonts w:eastAsia="Wingdings"/>
          <w:b/>
          <w:lang w:eastAsia="zh-CN"/>
        </w:rPr>
        <w:t xml:space="preserve">PC2 </w:t>
      </w:r>
      <w:r>
        <w:rPr>
          <w:rFonts w:eastAsia="Wingdings"/>
          <w:b/>
          <w:lang w:eastAsia="zh-CN"/>
        </w:rPr>
        <w:t>should be considered also</w:t>
      </w:r>
    </w:p>
    <w:p w14:paraId="2371C5C9" w14:textId="2E79503C" w:rsidR="00847BE2" w:rsidRDefault="00847BE2" w:rsidP="00847BE2">
      <w:pPr>
        <w:pStyle w:val="Heading2"/>
        <w:spacing w:after="240"/>
        <w:rPr>
          <w:sz w:val="36"/>
          <w:lang w:val="en-US"/>
        </w:rPr>
      </w:pPr>
      <w:r>
        <w:rPr>
          <w:sz w:val="36"/>
          <w:lang w:val="en-US"/>
        </w:rPr>
        <w:t>PC2 Power Amplifier</w:t>
      </w:r>
      <w:r w:rsidR="00652B57">
        <w:rPr>
          <w:sz w:val="36"/>
          <w:lang w:val="en-US"/>
        </w:rPr>
        <w:t xml:space="preserve"> Aspects</w:t>
      </w:r>
    </w:p>
    <w:p w14:paraId="4AEA5F3E" w14:textId="556E1333" w:rsidR="00847BE2" w:rsidRDefault="00847BE2" w:rsidP="00847BE2">
      <w:pPr>
        <w:spacing w:after="0"/>
      </w:pPr>
      <w:r>
        <w:t>PC2 power amplifiers are commonly available for TDD bands today</w:t>
      </w:r>
      <w:r w:rsidR="008907D4">
        <w:t>,</w:t>
      </w:r>
      <w:r>
        <w:t xml:space="preserve"> especially in band 41. Reaching higher power is not a major issue for the mainstream PA technologies used in the UE</w:t>
      </w:r>
      <w:r w:rsidR="008907D4">
        <w:t>,</w:t>
      </w:r>
      <w:r>
        <w:t xml:space="preserve"> but the thermal and battery current aspect should be managed from both a peak and average power point of view. It is essential that the long term average power stays close to 23dBm while duty-cycle at 26dBm and the duration at 100% duty-cycle are bounded not only for SAR reasons</w:t>
      </w:r>
      <w:r w:rsidR="008907D4">
        <w:t>,</w:t>
      </w:r>
      <w:r>
        <w:t xml:space="preserve"> but also for the thermal and battery current handling.</w:t>
      </w:r>
    </w:p>
    <w:p w14:paraId="4E02FA61" w14:textId="77777777" w:rsidR="00847BE2" w:rsidRDefault="00847BE2" w:rsidP="00847BE2">
      <w:pPr>
        <w:spacing w:after="0"/>
      </w:pPr>
    </w:p>
    <w:p w14:paraId="0015757D" w14:textId="6B48FB9D" w:rsidR="00847BE2" w:rsidRDefault="00847BE2" w:rsidP="00847BE2">
      <w:pPr>
        <w:spacing w:after="0"/>
      </w:pPr>
      <w:r>
        <w:t>While in NR, some TDD PC2 cases are implemented using two PC3 PAs, it has been limited to frequencies above 2.5GHz where two good antennas are available, for FDD bands that are lower, the duplication of duplexers and the availability of two good UL antennas is not favorable to such architecture.</w:t>
      </w:r>
    </w:p>
    <w:p w14:paraId="6C7ED0DA" w14:textId="77777777" w:rsidR="00652B57" w:rsidRDefault="00652B57" w:rsidP="00847BE2">
      <w:pPr>
        <w:spacing w:after="0"/>
      </w:pPr>
    </w:p>
    <w:p w14:paraId="581F26A4" w14:textId="5DD42416" w:rsidR="00652B57" w:rsidRDefault="00652B57" w:rsidP="00847BE2">
      <w:pPr>
        <w:spacing w:after="0"/>
      </w:pPr>
      <w:r>
        <w:t>From a performance point of view even with the additional1dB higher ACLR linearity, PC2 power amplifiers are within 1-2% of their PC3 counterparts in terms of PAE.</w:t>
      </w:r>
    </w:p>
    <w:p w14:paraId="4A94F948" w14:textId="77777777" w:rsidR="00847BE2" w:rsidRDefault="00847BE2" w:rsidP="00847BE2">
      <w:pPr>
        <w:spacing w:after="0"/>
      </w:pPr>
    </w:p>
    <w:p w14:paraId="49D87D01" w14:textId="64EA9196" w:rsidR="00847BE2" w:rsidRPr="00847BE2" w:rsidRDefault="00847BE2" w:rsidP="00847BE2">
      <w:pPr>
        <w:spacing w:after="0"/>
        <w:rPr>
          <w:b/>
        </w:rPr>
      </w:pPr>
      <w:r w:rsidRPr="00847BE2">
        <w:rPr>
          <w:b/>
        </w:rPr>
        <w:t xml:space="preserve">Proposal on PC2 </w:t>
      </w:r>
      <w:r w:rsidR="004E4F07">
        <w:rPr>
          <w:b/>
        </w:rPr>
        <w:t>Power amplifier</w:t>
      </w:r>
      <w:r w:rsidRPr="00847BE2">
        <w:rPr>
          <w:b/>
        </w:rPr>
        <w:t>:</w:t>
      </w:r>
    </w:p>
    <w:p w14:paraId="6B7F3333" w14:textId="59F138F7" w:rsidR="00847BE2" w:rsidRDefault="00847BE2" w:rsidP="001C3D53">
      <w:pPr>
        <w:pStyle w:val="ListParagraph"/>
        <w:numPr>
          <w:ilvl w:val="0"/>
          <w:numId w:val="12"/>
        </w:numPr>
        <w:spacing w:after="0"/>
        <w:rPr>
          <w:b/>
        </w:rPr>
      </w:pPr>
      <w:r>
        <w:rPr>
          <w:b/>
        </w:rPr>
        <w:t>Only single antenna / power amplifier architecture is considered</w:t>
      </w:r>
      <w:r w:rsidR="00B10588">
        <w:rPr>
          <w:b/>
        </w:rPr>
        <w:t xml:space="preserve"> for FDD PC2</w:t>
      </w:r>
    </w:p>
    <w:p w14:paraId="6BB3E97D" w14:textId="7F44A95F" w:rsidR="00847BE2" w:rsidRDefault="00847BE2" w:rsidP="001C3D53">
      <w:pPr>
        <w:pStyle w:val="ListParagraph"/>
        <w:numPr>
          <w:ilvl w:val="0"/>
          <w:numId w:val="12"/>
        </w:numPr>
        <w:spacing w:after="0"/>
        <w:rPr>
          <w:b/>
        </w:rPr>
      </w:pPr>
      <w:r>
        <w:rPr>
          <w:b/>
        </w:rPr>
        <w:t>Long term average power should be close to 23dBm for both SAR and thermal</w:t>
      </w:r>
      <w:r w:rsidR="008907D4">
        <w:rPr>
          <w:b/>
        </w:rPr>
        <w:t xml:space="preserve"> </w:t>
      </w:r>
      <w:r>
        <w:rPr>
          <w:b/>
        </w:rPr>
        <w:t>/</w:t>
      </w:r>
      <w:r w:rsidR="008907D4">
        <w:rPr>
          <w:b/>
        </w:rPr>
        <w:t xml:space="preserve"> </w:t>
      </w:r>
      <w:r>
        <w:rPr>
          <w:b/>
        </w:rPr>
        <w:t>pow</w:t>
      </w:r>
      <w:r w:rsidR="00F91C27">
        <w:rPr>
          <w:b/>
        </w:rPr>
        <w:t>e</w:t>
      </w:r>
      <w:r>
        <w:rPr>
          <w:b/>
        </w:rPr>
        <w:t>r consumption aspects</w:t>
      </w:r>
    </w:p>
    <w:p w14:paraId="701142CA" w14:textId="7E5A6460" w:rsidR="00847BE2" w:rsidRDefault="00847BE2" w:rsidP="001C3D53">
      <w:pPr>
        <w:pStyle w:val="ListParagraph"/>
        <w:numPr>
          <w:ilvl w:val="0"/>
          <w:numId w:val="12"/>
        </w:numPr>
        <w:spacing w:after="0"/>
        <w:rPr>
          <w:b/>
        </w:rPr>
      </w:pPr>
      <w:r>
        <w:rPr>
          <w:b/>
        </w:rPr>
        <w:t>Default 26dBm duty-cycle and duration shall be bounded accordingly and account for DTX</w:t>
      </w:r>
    </w:p>
    <w:p w14:paraId="1223A9FE" w14:textId="2D096E2B" w:rsidR="00652B57" w:rsidRPr="00847BE2" w:rsidRDefault="00652B57" w:rsidP="001C3D53">
      <w:pPr>
        <w:pStyle w:val="ListParagraph"/>
        <w:numPr>
          <w:ilvl w:val="0"/>
          <w:numId w:val="12"/>
        </w:numPr>
        <w:spacing w:after="0"/>
        <w:rPr>
          <w:b/>
        </w:rPr>
      </w:pPr>
      <w:r>
        <w:rPr>
          <w:b/>
        </w:rPr>
        <w:t>31 dB ACLR is assumed</w:t>
      </w:r>
    </w:p>
    <w:p w14:paraId="2F94F4A6" w14:textId="274DBE00" w:rsidR="00D05BB1" w:rsidRDefault="00847BE2" w:rsidP="00D05BB1">
      <w:pPr>
        <w:pStyle w:val="Heading2"/>
        <w:spacing w:after="240"/>
        <w:rPr>
          <w:sz w:val="36"/>
          <w:lang w:val="en-US"/>
        </w:rPr>
      </w:pPr>
      <w:r>
        <w:rPr>
          <w:sz w:val="36"/>
          <w:lang w:val="en-US"/>
        </w:rPr>
        <w:t xml:space="preserve">Duplexer </w:t>
      </w:r>
      <w:r w:rsidR="00F34C71">
        <w:rPr>
          <w:sz w:val="36"/>
          <w:lang w:val="en-US"/>
        </w:rPr>
        <w:t>Aspects</w:t>
      </w:r>
    </w:p>
    <w:p w14:paraId="2EEED802" w14:textId="456E05F3" w:rsidR="004E4F07" w:rsidRDefault="00E333D9" w:rsidP="00ED5E09">
      <w:pPr>
        <w:spacing w:after="0"/>
      </w:pPr>
      <w:r>
        <w:t>From a filter prospective, TDD PC2 is proven for band n41, especially for BAW technology. Nevertheless, the SAW and BAW filters reliability relates to thermal aspects</w:t>
      </w:r>
      <w:r w:rsidR="008907D4">
        <w:t>,</w:t>
      </w:r>
      <w:r>
        <w:t xml:space="preserve"> but also the pea</w:t>
      </w:r>
      <w:r w:rsidR="008907D4">
        <w:t>k</w:t>
      </w:r>
      <w:r>
        <w:t xml:space="preserve"> and average power</w:t>
      </w:r>
      <w:r w:rsidR="00DA6CA7">
        <w:t>,</w:t>
      </w:r>
      <w:r>
        <w:t xml:space="preserve"> as those dictate the current and voltage swings in the resonators. </w:t>
      </w:r>
      <w:r w:rsidR="004E4F07">
        <w:t>With the insertion losses</w:t>
      </w:r>
      <w:r w:rsidR="00DA6CA7">
        <w:t>,</w:t>
      </w:r>
      <w:r w:rsidR="004E4F07">
        <w:t xml:space="preserve"> the filter also has to dissipate more power and to manage the related thermal rise use</w:t>
      </w:r>
      <w:r w:rsidR="00DA6CA7">
        <w:t>s</w:t>
      </w:r>
      <w:r w:rsidR="004E4F07">
        <w:t xml:space="preserve"> larger devices. In some challenging FDD bands</w:t>
      </w:r>
      <w:r w:rsidR="00DA6CA7">
        <w:t>,</w:t>
      </w:r>
      <w:r w:rsidR="004E4F07">
        <w:t xml:space="preserve"> the insertion losses may be higher thus increasing the required thermal dissipation capability.</w:t>
      </w:r>
    </w:p>
    <w:p w14:paraId="391157E9" w14:textId="77777777" w:rsidR="004E4F07" w:rsidRDefault="004E4F07" w:rsidP="00ED5E09">
      <w:pPr>
        <w:spacing w:after="0"/>
      </w:pPr>
    </w:p>
    <w:p w14:paraId="6ECA53B3" w14:textId="7CAACACF" w:rsidR="004E4F07" w:rsidRDefault="004E4F07" w:rsidP="00ED5E09">
      <w:pPr>
        <w:spacing w:after="0"/>
      </w:pPr>
      <w:r>
        <w:t>In contrast to TDD bands, FDD bands have bigger challenges in terms of performance in order to achieve the proper TX-RX isolations</w:t>
      </w:r>
      <w:r w:rsidR="00DA6CA7">
        <w:t xml:space="preserve"> and TX-Ant rejections,</w:t>
      </w:r>
      <w:r>
        <w:t xml:space="preserve"> especially for small duplex gaps. One aspect is related to how stable the filter characteristics are with temperature. Both TC SAW and BAW have rather good thermal coefficients</w:t>
      </w:r>
      <w:r w:rsidR="00DA6CA7">
        <w:t>,</w:t>
      </w:r>
      <w:r>
        <w:t xml:space="preserve"> but with a 3dB increase in power and the associated additional thermal rise, the variation of the filter will increase.</w:t>
      </w:r>
    </w:p>
    <w:p w14:paraId="2BA833AE" w14:textId="77777777" w:rsidR="004E4F07" w:rsidRDefault="004E4F07" w:rsidP="00ED5E09">
      <w:pPr>
        <w:spacing w:after="0"/>
      </w:pPr>
    </w:p>
    <w:p w14:paraId="15E003E2" w14:textId="2E83753D" w:rsidR="004E4F07" w:rsidRDefault="004E4F07" w:rsidP="00ED5E09">
      <w:pPr>
        <w:spacing w:after="0"/>
      </w:pPr>
      <w:r>
        <w:t xml:space="preserve">As an example, if we take </w:t>
      </w:r>
      <w:r w:rsidR="00DA6CA7">
        <w:t>B</w:t>
      </w:r>
      <w:r>
        <w:t>and 3 (not n</w:t>
      </w:r>
      <w:r w:rsidR="008962F1">
        <w:t>ecessarily the worst FDD band), the duplexer design parameter are shown in Table 1.</w:t>
      </w:r>
    </w:p>
    <w:p w14:paraId="465EB412" w14:textId="70F9CF8E" w:rsidR="008962F1" w:rsidRDefault="008962F1" w:rsidP="008962F1">
      <w:pPr>
        <w:pStyle w:val="Caption"/>
        <w:keepNext/>
        <w:jc w:val="center"/>
      </w:pPr>
      <w:r>
        <w:t xml:space="preserve">Table </w:t>
      </w:r>
      <w:r w:rsidR="00F0627A">
        <w:fldChar w:fldCharType="begin"/>
      </w:r>
      <w:r w:rsidR="00F0627A">
        <w:instrText xml:space="preserve"> SEQ Table \* ARABIC </w:instrText>
      </w:r>
      <w:r w:rsidR="00F0627A">
        <w:fldChar w:fldCharType="separate"/>
      </w:r>
      <w:r>
        <w:rPr>
          <w:noProof/>
        </w:rPr>
        <w:t>1</w:t>
      </w:r>
      <w:r w:rsidR="00F0627A">
        <w:rPr>
          <w:noProof/>
        </w:rPr>
        <w:fldChar w:fldCharType="end"/>
      </w:r>
      <w:r>
        <w:t>: Band 3 duplexer parameters</w:t>
      </w:r>
    </w:p>
    <w:tbl>
      <w:tblPr>
        <w:tblW w:w="8329" w:type="dxa"/>
        <w:jc w:val="center"/>
        <w:tblInd w:w="103" w:type="dxa"/>
        <w:tblLook w:val="04A0" w:firstRow="1" w:lastRow="0" w:firstColumn="1" w:lastColumn="0" w:noHBand="0" w:noVBand="1"/>
      </w:tblPr>
      <w:tblGrid>
        <w:gridCol w:w="651"/>
        <w:gridCol w:w="774"/>
        <w:gridCol w:w="774"/>
        <w:gridCol w:w="774"/>
        <w:gridCol w:w="774"/>
        <w:gridCol w:w="716"/>
        <w:gridCol w:w="710"/>
        <w:gridCol w:w="764"/>
        <w:gridCol w:w="512"/>
        <w:gridCol w:w="613"/>
        <w:gridCol w:w="613"/>
        <w:gridCol w:w="654"/>
      </w:tblGrid>
      <w:tr w:rsidR="008962F1" w:rsidRPr="008962F1" w14:paraId="191DF9B5" w14:textId="77777777" w:rsidTr="008962F1">
        <w:trPr>
          <w:trHeight w:val="63"/>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09A66" w14:textId="59CFFC04" w:rsidR="008962F1" w:rsidRPr="008962F1" w:rsidRDefault="008962F1" w:rsidP="004E4F07">
            <w:pPr>
              <w:overflowPunct/>
              <w:autoSpaceDE/>
              <w:autoSpaceDN/>
              <w:adjustRightInd/>
              <w:spacing w:after="0"/>
              <w:jc w:val="center"/>
              <w:textAlignment w:val="auto"/>
              <w:rPr>
                <w:rFonts w:ascii="Calibri" w:hAnsi="Calibri"/>
              </w:rPr>
            </w:pPr>
            <w:r w:rsidRPr="008962F1">
              <w:rPr>
                <w:rFonts w:ascii="Calibri" w:hAnsi="Calibri"/>
              </w:rPr>
              <w:t>3GPP</w:t>
            </w:r>
          </w:p>
          <w:p w14:paraId="082C3244" w14:textId="77F4F9D0"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Band</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1E994932"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UL Low</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7999C7F2"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UL High</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1B988561"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DL Low</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45419475"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DL High</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7FE92B82"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ULBW</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2F3726B8"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DLBW</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71D52A7F"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duplex</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19CC392F"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gap</w:t>
            </w:r>
          </w:p>
        </w:tc>
        <w:tc>
          <w:tcPr>
            <w:tcW w:w="613" w:type="dxa"/>
            <w:tcBorders>
              <w:top w:val="single" w:sz="4" w:space="0" w:color="auto"/>
              <w:left w:val="nil"/>
              <w:bottom w:val="single" w:sz="4" w:space="0" w:color="auto"/>
              <w:right w:val="single" w:sz="4" w:space="0" w:color="auto"/>
            </w:tcBorders>
            <w:shd w:val="clear" w:color="auto" w:fill="auto"/>
            <w:vAlign w:val="center"/>
            <w:hideMark/>
          </w:tcPr>
          <w:p w14:paraId="4ABA7B0B"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UL%</w:t>
            </w:r>
          </w:p>
        </w:tc>
        <w:tc>
          <w:tcPr>
            <w:tcW w:w="613" w:type="dxa"/>
            <w:tcBorders>
              <w:top w:val="single" w:sz="4" w:space="0" w:color="auto"/>
              <w:left w:val="nil"/>
              <w:bottom w:val="single" w:sz="4" w:space="0" w:color="auto"/>
              <w:right w:val="single" w:sz="4" w:space="0" w:color="auto"/>
            </w:tcBorders>
            <w:shd w:val="clear" w:color="auto" w:fill="auto"/>
            <w:vAlign w:val="center"/>
            <w:hideMark/>
          </w:tcPr>
          <w:p w14:paraId="6F0F2CF6"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DL%</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343CBCA6"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gap%</w:t>
            </w:r>
          </w:p>
        </w:tc>
      </w:tr>
      <w:tr w:rsidR="008962F1" w:rsidRPr="008962F1" w14:paraId="7FB576B0" w14:textId="77777777" w:rsidTr="008962F1">
        <w:trPr>
          <w:trHeight w:val="132"/>
          <w:jc w:val="center"/>
        </w:trPr>
        <w:tc>
          <w:tcPr>
            <w:tcW w:w="651" w:type="dxa"/>
            <w:tcBorders>
              <w:top w:val="nil"/>
              <w:left w:val="single" w:sz="4" w:space="0" w:color="auto"/>
              <w:bottom w:val="single" w:sz="4" w:space="0" w:color="auto"/>
              <w:right w:val="single" w:sz="4" w:space="0" w:color="auto"/>
            </w:tcBorders>
            <w:shd w:val="clear" w:color="auto" w:fill="auto"/>
            <w:vAlign w:val="center"/>
            <w:hideMark/>
          </w:tcPr>
          <w:p w14:paraId="12DA9909"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3</w:t>
            </w:r>
          </w:p>
        </w:tc>
        <w:tc>
          <w:tcPr>
            <w:tcW w:w="774" w:type="dxa"/>
            <w:tcBorders>
              <w:top w:val="nil"/>
              <w:left w:val="nil"/>
              <w:bottom w:val="single" w:sz="4" w:space="0" w:color="auto"/>
              <w:right w:val="single" w:sz="4" w:space="0" w:color="auto"/>
            </w:tcBorders>
            <w:shd w:val="clear" w:color="auto" w:fill="auto"/>
            <w:vAlign w:val="center"/>
            <w:hideMark/>
          </w:tcPr>
          <w:p w14:paraId="414D2E87"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1710.0</w:t>
            </w:r>
          </w:p>
        </w:tc>
        <w:tc>
          <w:tcPr>
            <w:tcW w:w="774" w:type="dxa"/>
            <w:tcBorders>
              <w:top w:val="nil"/>
              <w:left w:val="nil"/>
              <w:bottom w:val="single" w:sz="4" w:space="0" w:color="auto"/>
              <w:right w:val="single" w:sz="4" w:space="0" w:color="auto"/>
            </w:tcBorders>
            <w:shd w:val="clear" w:color="auto" w:fill="auto"/>
            <w:vAlign w:val="center"/>
            <w:hideMark/>
          </w:tcPr>
          <w:p w14:paraId="48FED1DA"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1785.0</w:t>
            </w:r>
          </w:p>
        </w:tc>
        <w:tc>
          <w:tcPr>
            <w:tcW w:w="774" w:type="dxa"/>
            <w:tcBorders>
              <w:top w:val="nil"/>
              <w:left w:val="nil"/>
              <w:bottom w:val="single" w:sz="4" w:space="0" w:color="auto"/>
              <w:right w:val="single" w:sz="4" w:space="0" w:color="auto"/>
            </w:tcBorders>
            <w:shd w:val="clear" w:color="auto" w:fill="auto"/>
            <w:vAlign w:val="center"/>
            <w:hideMark/>
          </w:tcPr>
          <w:p w14:paraId="72C565BE"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1805.0</w:t>
            </w:r>
          </w:p>
        </w:tc>
        <w:tc>
          <w:tcPr>
            <w:tcW w:w="774" w:type="dxa"/>
            <w:tcBorders>
              <w:top w:val="nil"/>
              <w:left w:val="nil"/>
              <w:bottom w:val="single" w:sz="4" w:space="0" w:color="auto"/>
              <w:right w:val="single" w:sz="4" w:space="0" w:color="auto"/>
            </w:tcBorders>
            <w:shd w:val="clear" w:color="auto" w:fill="auto"/>
            <w:vAlign w:val="center"/>
            <w:hideMark/>
          </w:tcPr>
          <w:p w14:paraId="19DD2A27"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1880.0</w:t>
            </w:r>
          </w:p>
        </w:tc>
        <w:tc>
          <w:tcPr>
            <w:tcW w:w="716" w:type="dxa"/>
            <w:tcBorders>
              <w:top w:val="nil"/>
              <w:left w:val="nil"/>
              <w:bottom w:val="single" w:sz="4" w:space="0" w:color="auto"/>
              <w:right w:val="single" w:sz="4" w:space="0" w:color="auto"/>
            </w:tcBorders>
            <w:shd w:val="clear" w:color="auto" w:fill="auto"/>
            <w:vAlign w:val="center"/>
            <w:hideMark/>
          </w:tcPr>
          <w:p w14:paraId="54A6E505"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75</w:t>
            </w:r>
          </w:p>
        </w:tc>
        <w:tc>
          <w:tcPr>
            <w:tcW w:w="710" w:type="dxa"/>
            <w:tcBorders>
              <w:top w:val="nil"/>
              <w:left w:val="nil"/>
              <w:bottom w:val="single" w:sz="4" w:space="0" w:color="auto"/>
              <w:right w:val="single" w:sz="4" w:space="0" w:color="auto"/>
            </w:tcBorders>
            <w:shd w:val="clear" w:color="auto" w:fill="auto"/>
            <w:vAlign w:val="center"/>
            <w:hideMark/>
          </w:tcPr>
          <w:p w14:paraId="21ACDC44"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75</w:t>
            </w:r>
          </w:p>
        </w:tc>
        <w:tc>
          <w:tcPr>
            <w:tcW w:w="764" w:type="dxa"/>
            <w:tcBorders>
              <w:top w:val="nil"/>
              <w:left w:val="nil"/>
              <w:bottom w:val="single" w:sz="4" w:space="0" w:color="auto"/>
              <w:right w:val="single" w:sz="4" w:space="0" w:color="auto"/>
            </w:tcBorders>
            <w:shd w:val="clear" w:color="auto" w:fill="auto"/>
            <w:vAlign w:val="center"/>
            <w:hideMark/>
          </w:tcPr>
          <w:p w14:paraId="7F8AE24F"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95</w:t>
            </w:r>
          </w:p>
        </w:tc>
        <w:tc>
          <w:tcPr>
            <w:tcW w:w="512" w:type="dxa"/>
            <w:tcBorders>
              <w:top w:val="nil"/>
              <w:left w:val="nil"/>
              <w:bottom w:val="single" w:sz="4" w:space="0" w:color="auto"/>
              <w:right w:val="single" w:sz="4" w:space="0" w:color="auto"/>
            </w:tcBorders>
            <w:shd w:val="clear" w:color="auto" w:fill="auto"/>
            <w:vAlign w:val="center"/>
            <w:hideMark/>
          </w:tcPr>
          <w:p w14:paraId="0E18E717"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20</w:t>
            </w:r>
          </w:p>
        </w:tc>
        <w:tc>
          <w:tcPr>
            <w:tcW w:w="613" w:type="dxa"/>
            <w:tcBorders>
              <w:top w:val="nil"/>
              <w:left w:val="nil"/>
              <w:bottom w:val="single" w:sz="4" w:space="0" w:color="auto"/>
              <w:right w:val="single" w:sz="4" w:space="0" w:color="auto"/>
            </w:tcBorders>
            <w:shd w:val="clear" w:color="auto" w:fill="auto"/>
            <w:vAlign w:val="center"/>
            <w:hideMark/>
          </w:tcPr>
          <w:p w14:paraId="6C661087"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4.3%</w:t>
            </w:r>
          </w:p>
        </w:tc>
        <w:tc>
          <w:tcPr>
            <w:tcW w:w="613" w:type="dxa"/>
            <w:tcBorders>
              <w:top w:val="nil"/>
              <w:left w:val="nil"/>
              <w:bottom w:val="single" w:sz="4" w:space="0" w:color="auto"/>
              <w:right w:val="single" w:sz="4" w:space="0" w:color="auto"/>
            </w:tcBorders>
            <w:shd w:val="clear" w:color="auto" w:fill="auto"/>
            <w:vAlign w:val="center"/>
            <w:hideMark/>
          </w:tcPr>
          <w:p w14:paraId="22950D92"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4.1%</w:t>
            </w:r>
          </w:p>
        </w:tc>
        <w:tc>
          <w:tcPr>
            <w:tcW w:w="654" w:type="dxa"/>
            <w:tcBorders>
              <w:top w:val="nil"/>
              <w:left w:val="nil"/>
              <w:bottom w:val="single" w:sz="4" w:space="0" w:color="auto"/>
              <w:right w:val="single" w:sz="4" w:space="0" w:color="auto"/>
            </w:tcBorders>
            <w:shd w:val="clear" w:color="auto" w:fill="auto"/>
            <w:vAlign w:val="center"/>
            <w:hideMark/>
          </w:tcPr>
          <w:p w14:paraId="4B365DB3" w14:textId="77777777" w:rsidR="008962F1" w:rsidRPr="004E4F07" w:rsidRDefault="008962F1" w:rsidP="004E4F07">
            <w:pPr>
              <w:overflowPunct/>
              <w:autoSpaceDE/>
              <w:autoSpaceDN/>
              <w:adjustRightInd/>
              <w:spacing w:after="0"/>
              <w:jc w:val="center"/>
              <w:textAlignment w:val="auto"/>
              <w:rPr>
                <w:rFonts w:ascii="Calibri" w:hAnsi="Calibri"/>
              </w:rPr>
            </w:pPr>
            <w:r w:rsidRPr="004E4F07">
              <w:rPr>
                <w:rFonts w:ascii="Calibri" w:hAnsi="Calibri"/>
              </w:rPr>
              <w:t>1.1%</w:t>
            </w:r>
          </w:p>
        </w:tc>
      </w:tr>
    </w:tbl>
    <w:p w14:paraId="47D32706" w14:textId="77777777" w:rsidR="004E4F07" w:rsidRDefault="004E4F07" w:rsidP="00ED5E09">
      <w:pPr>
        <w:spacing w:after="0"/>
      </w:pPr>
    </w:p>
    <w:p w14:paraId="78253691" w14:textId="37E38968" w:rsidR="008962F1" w:rsidRDefault="008962F1" w:rsidP="00ED5E09">
      <w:pPr>
        <w:spacing w:after="0"/>
        <w:rPr>
          <w:b/>
        </w:rPr>
      </w:pPr>
      <w:r w:rsidRPr="008962F1">
        <w:rPr>
          <w:b/>
        </w:rPr>
        <w:t>Observation for Band 3 duplexer parameters:</w:t>
      </w:r>
    </w:p>
    <w:p w14:paraId="2F1B2E41" w14:textId="6F1E74EA" w:rsidR="008962F1" w:rsidRDefault="008962F1" w:rsidP="001C3D53">
      <w:pPr>
        <w:pStyle w:val="ListParagraph"/>
        <w:numPr>
          <w:ilvl w:val="0"/>
          <w:numId w:val="13"/>
        </w:numPr>
        <w:spacing w:after="0"/>
        <w:rPr>
          <w:b/>
        </w:rPr>
      </w:pPr>
      <w:r>
        <w:rPr>
          <w:b/>
        </w:rPr>
        <w:t>Duplex gap is only 20MHz which represents ~1% bandwidth</w:t>
      </w:r>
    </w:p>
    <w:p w14:paraId="05A391D6" w14:textId="104A2DF2" w:rsidR="008962F1" w:rsidRDefault="008962F1" w:rsidP="001C3D53">
      <w:pPr>
        <w:pStyle w:val="ListParagraph"/>
        <w:numPr>
          <w:ilvl w:val="0"/>
          <w:numId w:val="13"/>
        </w:numPr>
        <w:spacing w:after="0"/>
        <w:rPr>
          <w:b/>
        </w:rPr>
      </w:pPr>
      <w:r>
        <w:rPr>
          <w:b/>
        </w:rPr>
        <w:t>&gt;50dB TX-RX isolations shall be achieved within that small gap and any additional frequency shift due to PC2 related temperature increase will degrade this performance while to be on par with PC3 performance 3dB higher isolation would be needed to prevent receiver de-sense due to TX noise or receiver non-linearity due to the remaining strength of the UL signal</w:t>
      </w:r>
    </w:p>
    <w:p w14:paraId="3915B193" w14:textId="01B41B3A" w:rsidR="008962F1" w:rsidRDefault="008962F1" w:rsidP="001C3D53">
      <w:pPr>
        <w:pStyle w:val="ListParagraph"/>
        <w:numPr>
          <w:ilvl w:val="0"/>
          <w:numId w:val="13"/>
        </w:numPr>
        <w:spacing w:after="0"/>
        <w:rPr>
          <w:b/>
        </w:rPr>
      </w:pPr>
      <w:r>
        <w:rPr>
          <w:b/>
        </w:rPr>
        <w:t>Note that duplexer challeng</w:t>
      </w:r>
      <w:r w:rsidR="00652B57">
        <w:rPr>
          <w:b/>
        </w:rPr>
        <w:t xml:space="preserve">e is increased for increased BW and decreased gap, band 2, 3, </w:t>
      </w:r>
      <w:r w:rsidR="00DA6CA7">
        <w:rPr>
          <w:b/>
        </w:rPr>
        <w:t xml:space="preserve">8, </w:t>
      </w:r>
      <w:r w:rsidR="00652B57">
        <w:rPr>
          <w:b/>
        </w:rPr>
        <w:t xml:space="preserve">25, 26, </w:t>
      </w:r>
      <w:r w:rsidR="00DA6CA7">
        <w:rPr>
          <w:b/>
        </w:rPr>
        <w:t xml:space="preserve">28, </w:t>
      </w:r>
      <w:r w:rsidR="00652B57">
        <w:rPr>
          <w:b/>
        </w:rPr>
        <w:t>71 and 74 are such critical bands</w:t>
      </w:r>
    </w:p>
    <w:p w14:paraId="6421DA82" w14:textId="10796629" w:rsidR="00652B57" w:rsidRDefault="00652B57" w:rsidP="001C3D53">
      <w:pPr>
        <w:pStyle w:val="ListParagraph"/>
        <w:numPr>
          <w:ilvl w:val="0"/>
          <w:numId w:val="13"/>
        </w:numPr>
        <w:spacing w:after="0"/>
        <w:rPr>
          <w:b/>
        </w:rPr>
      </w:pPr>
      <w:r>
        <w:rPr>
          <w:b/>
        </w:rPr>
        <w:t xml:space="preserve">Further note that </w:t>
      </w:r>
      <w:r w:rsidR="00DA6CA7">
        <w:rPr>
          <w:b/>
        </w:rPr>
        <w:t>m</w:t>
      </w:r>
      <w:r>
        <w:rPr>
          <w:b/>
        </w:rPr>
        <w:t>any of these mid bands have the additional challenge that they part of quad-</w:t>
      </w:r>
      <w:proofErr w:type="spellStart"/>
      <w:r>
        <w:rPr>
          <w:b/>
        </w:rPr>
        <w:t>plexing</w:t>
      </w:r>
      <w:proofErr w:type="spellEnd"/>
      <w:r>
        <w:rPr>
          <w:b/>
        </w:rPr>
        <w:t xml:space="preserve"> up to </w:t>
      </w:r>
      <w:proofErr w:type="spellStart"/>
      <w:r>
        <w:rPr>
          <w:b/>
        </w:rPr>
        <w:t>hepta-plexing</w:t>
      </w:r>
      <w:proofErr w:type="spellEnd"/>
      <w:r>
        <w:rPr>
          <w:b/>
        </w:rPr>
        <w:t xml:space="preserve"> cases</w:t>
      </w:r>
    </w:p>
    <w:p w14:paraId="3A6F97A6" w14:textId="77777777" w:rsidR="00652B57" w:rsidRDefault="00652B57" w:rsidP="00652B57">
      <w:pPr>
        <w:spacing w:after="0"/>
        <w:rPr>
          <w:b/>
        </w:rPr>
      </w:pPr>
    </w:p>
    <w:p w14:paraId="7E09E19C" w14:textId="35E28794" w:rsidR="004D0E08" w:rsidRPr="004D0E08" w:rsidRDefault="004D0E08" w:rsidP="00652B57">
      <w:pPr>
        <w:spacing w:after="0"/>
      </w:pPr>
      <w:r w:rsidRPr="004D0E08">
        <w:t>From a performance point of view</w:t>
      </w:r>
      <w:r>
        <w:t>, assuming that the ad</w:t>
      </w:r>
      <w:r w:rsidRPr="004D0E08">
        <w:t>ditional variability due to the PC2 thermal aspects is managed, today</w:t>
      </w:r>
      <w:r w:rsidR="00DA6CA7">
        <w:t>’</w:t>
      </w:r>
      <w:r w:rsidR="00794F29">
        <w:t>s state-of-the-</w:t>
      </w:r>
      <w:r w:rsidRPr="004D0E08">
        <w:t xml:space="preserve">art duplexers achieve better isolation than what was used as </w:t>
      </w:r>
      <w:r w:rsidR="00DA6CA7">
        <w:t xml:space="preserve">an </w:t>
      </w:r>
      <w:r w:rsidRPr="004D0E08">
        <w:t>as</w:t>
      </w:r>
      <w:r>
        <w:t>s</w:t>
      </w:r>
      <w:r w:rsidRPr="004D0E08">
        <w:t xml:space="preserve">umption </w:t>
      </w:r>
      <w:r w:rsidR="002E3613">
        <w:t xml:space="preserve">for LTE FDD bands </w:t>
      </w:r>
      <w:r w:rsidR="00DA6CA7">
        <w:t xml:space="preserve">and copied to NR, </w:t>
      </w:r>
      <w:r w:rsidR="002E3613">
        <w:t>so an easy way to maintain the PC3 performance</w:t>
      </w:r>
      <w:r w:rsidR="00DA6CA7">
        <w:t xml:space="preserve"> for PC2</w:t>
      </w:r>
      <w:r w:rsidR="002E3613">
        <w:t xml:space="preserve"> is to assume an additional 3dB of </w:t>
      </w:r>
      <w:proofErr w:type="spellStart"/>
      <w:r w:rsidR="002E3613">
        <w:t>Tx</w:t>
      </w:r>
      <w:proofErr w:type="spellEnd"/>
      <w:r w:rsidR="002E3613">
        <w:t>-Rx isolation compared to the original 50dB.</w:t>
      </w:r>
    </w:p>
    <w:p w14:paraId="4353D585" w14:textId="77777777" w:rsidR="002E3613" w:rsidRDefault="002E3613" w:rsidP="00652B57">
      <w:pPr>
        <w:spacing w:after="0"/>
        <w:rPr>
          <w:b/>
        </w:rPr>
      </w:pPr>
    </w:p>
    <w:p w14:paraId="40129940" w14:textId="00FE6848" w:rsidR="002E3613" w:rsidRDefault="00E9530B" w:rsidP="00652B57">
      <w:pPr>
        <w:spacing w:after="0"/>
        <w:rPr>
          <w:b/>
        </w:rPr>
      </w:pPr>
      <w:r>
        <w:rPr>
          <w:b/>
        </w:rPr>
        <w:t>Proposal on duplexer</w:t>
      </w:r>
      <w:r w:rsidR="002E3613">
        <w:rPr>
          <w:b/>
        </w:rPr>
        <w:t>:</w:t>
      </w:r>
    </w:p>
    <w:p w14:paraId="5C212298" w14:textId="538CAED4" w:rsidR="004D0E08" w:rsidRDefault="002E3613" w:rsidP="001C3D53">
      <w:pPr>
        <w:pStyle w:val="ListParagraph"/>
        <w:numPr>
          <w:ilvl w:val="0"/>
          <w:numId w:val="14"/>
        </w:numPr>
        <w:spacing w:after="0"/>
        <w:rPr>
          <w:b/>
        </w:rPr>
      </w:pPr>
      <w:r w:rsidRPr="002E3613">
        <w:rPr>
          <w:b/>
        </w:rPr>
        <w:t>To assess reliability and thermal behavior of duplexers and ultimately the TX-RX and TX antenna performance assumptions for PC2 REFSEN</w:t>
      </w:r>
      <w:r>
        <w:rPr>
          <w:b/>
        </w:rPr>
        <w:t>S and band protection:</w:t>
      </w:r>
    </w:p>
    <w:p w14:paraId="571BE2DD" w14:textId="0A70514F" w:rsidR="002E3613" w:rsidRDefault="002E3613" w:rsidP="001C3D53">
      <w:pPr>
        <w:pStyle w:val="ListParagraph"/>
        <w:numPr>
          <w:ilvl w:val="1"/>
          <w:numId w:val="14"/>
        </w:numPr>
        <w:spacing w:after="0"/>
        <w:rPr>
          <w:b/>
        </w:rPr>
      </w:pPr>
      <w:r>
        <w:rPr>
          <w:b/>
        </w:rPr>
        <w:t xml:space="preserve">Peak and average power and thermal </w:t>
      </w:r>
      <w:r w:rsidR="00E9530B">
        <w:rPr>
          <w:b/>
        </w:rPr>
        <w:t xml:space="preserve">reliability </w:t>
      </w:r>
      <w:r w:rsidR="00FE66F7">
        <w:rPr>
          <w:b/>
        </w:rPr>
        <w:t xml:space="preserve">and variability </w:t>
      </w:r>
      <w:r w:rsidR="00E9530B">
        <w:rPr>
          <w:b/>
        </w:rPr>
        <w:t>aspect should be studied</w:t>
      </w:r>
      <w:r w:rsidR="00FE66F7">
        <w:rPr>
          <w:b/>
        </w:rPr>
        <w:t xml:space="preserve"> with band 3 as example band</w:t>
      </w:r>
    </w:p>
    <w:p w14:paraId="1C469E0B" w14:textId="77777777" w:rsidR="00E9530B" w:rsidRDefault="00E9530B" w:rsidP="001C3D53">
      <w:pPr>
        <w:pStyle w:val="ListParagraph"/>
        <w:numPr>
          <w:ilvl w:val="1"/>
          <w:numId w:val="14"/>
        </w:numPr>
        <w:spacing w:after="0"/>
        <w:rPr>
          <w:b/>
        </w:rPr>
      </w:pPr>
      <w:r>
        <w:rPr>
          <w:b/>
        </w:rPr>
        <w:t>Long term average power should be close to 23dBm for both SAR and thermal/power consumption aspects</w:t>
      </w:r>
    </w:p>
    <w:p w14:paraId="5C29D713" w14:textId="77777777" w:rsidR="00E9530B" w:rsidRDefault="00E9530B" w:rsidP="001C3D53">
      <w:pPr>
        <w:pStyle w:val="ListParagraph"/>
        <w:numPr>
          <w:ilvl w:val="1"/>
          <w:numId w:val="14"/>
        </w:numPr>
        <w:spacing w:after="0"/>
        <w:rPr>
          <w:b/>
        </w:rPr>
      </w:pPr>
      <w:r>
        <w:rPr>
          <w:b/>
        </w:rPr>
        <w:t>Default 26dBm duty-cycle and duration shall be bounded accordingly and account for DTX</w:t>
      </w:r>
    </w:p>
    <w:p w14:paraId="25488D5E" w14:textId="76535D96" w:rsidR="00E9530B" w:rsidRDefault="00E9530B" w:rsidP="001C3D53">
      <w:pPr>
        <w:pStyle w:val="ListParagraph"/>
        <w:numPr>
          <w:ilvl w:val="0"/>
          <w:numId w:val="14"/>
        </w:numPr>
        <w:spacing w:after="0"/>
        <w:rPr>
          <w:b/>
        </w:rPr>
      </w:pPr>
      <w:r>
        <w:rPr>
          <w:b/>
        </w:rPr>
        <w:t>L</w:t>
      </w:r>
      <w:r w:rsidRPr="00E9530B">
        <w:rPr>
          <w:b/>
        </w:rPr>
        <w:t xml:space="preserve">egacy </w:t>
      </w:r>
      <w:r>
        <w:rPr>
          <w:b/>
        </w:rPr>
        <w:t xml:space="preserve">PC3 </w:t>
      </w:r>
      <w:r w:rsidRPr="00E9530B">
        <w:rPr>
          <w:b/>
        </w:rPr>
        <w:t xml:space="preserve">assumptions on </w:t>
      </w:r>
      <w:proofErr w:type="spellStart"/>
      <w:r w:rsidRPr="00E9530B">
        <w:rPr>
          <w:b/>
        </w:rPr>
        <w:t>Tx</w:t>
      </w:r>
      <w:proofErr w:type="spellEnd"/>
      <w:r w:rsidRPr="00E9530B">
        <w:rPr>
          <w:b/>
        </w:rPr>
        <w:t xml:space="preserve">-Rx isolation and TX-Ant </w:t>
      </w:r>
      <w:r>
        <w:rPr>
          <w:b/>
        </w:rPr>
        <w:t>can be re-used for PC2</w:t>
      </w:r>
      <w:r w:rsidR="00491162">
        <w:rPr>
          <w:b/>
        </w:rPr>
        <w:t xml:space="preserve"> as a starting point</w:t>
      </w:r>
    </w:p>
    <w:p w14:paraId="54D0DDAA" w14:textId="48FA8AB3" w:rsidR="00E9530B" w:rsidRDefault="00E9530B" w:rsidP="001C3D53">
      <w:pPr>
        <w:pStyle w:val="ListParagraph"/>
        <w:numPr>
          <w:ilvl w:val="0"/>
          <w:numId w:val="14"/>
        </w:numPr>
        <w:spacing w:after="0"/>
        <w:rPr>
          <w:b/>
        </w:rPr>
      </w:pPr>
      <w:r>
        <w:rPr>
          <w:b/>
        </w:rPr>
        <w:t>FFS if duplexer assumptions can be improved by 3dB to account for state</w:t>
      </w:r>
      <w:r w:rsidR="00794F29">
        <w:rPr>
          <w:b/>
        </w:rPr>
        <w:t>-</w:t>
      </w:r>
      <w:r>
        <w:rPr>
          <w:b/>
        </w:rPr>
        <w:t>of</w:t>
      </w:r>
      <w:r w:rsidR="00794F29">
        <w:rPr>
          <w:b/>
        </w:rPr>
        <w:t>-</w:t>
      </w:r>
      <w:r>
        <w:rPr>
          <w:b/>
        </w:rPr>
        <w:t>the</w:t>
      </w:r>
      <w:r w:rsidR="00794F29">
        <w:rPr>
          <w:b/>
        </w:rPr>
        <w:t>-</w:t>
      </w:r>
      <w:r>
        <w:rPr>
          <w:b/>
        </w:rPr>
        <w:t>art performance depending on re</w:t>
      </w:r>
      <w:r w:rsidR="00794F29">
        <w:rPr>
          <w:b/>
        </w:rPr>
        <w:t>liability and thermal aspects. T</w:t>
      </w:r>
      <w:r>
        <w:rPr>
          <w:b/>
        </w:rPr>
        <w:t>his can be discussed per band</w:t>
      </w:r>
    </w:p>
    <w:p w14:paraId="5AE6FD71" w14:textId="763CA18F" w:rsidR="0042562A" w:rsidRDefault="00FE66F7" w:rsidP="0062729B">
      <w:pPr>
        <w:pStyle w:val="Heading2"/>
        <w:spacing w:after="240"/>
        <w:rPr>
          <w:sz w:val="36"/>
          <w:lang w:val="en-US"/>
        </w:rPr>
      </w:pPr>
      <w:r>
        <w:rPr>
          <w:sz w:val="36"/>
          <w:lang w:val="en-US"/>
        </w:rPr>
        <w:t xml:space="preserve">UE </w:t>
      </w:r>
      <w:r w:rsidR="00652B57">
        <w:rPr>
          <w:sz w:val="36"/>
          <w:lang w:val="en-US"/>
        </w:rPr>
        <w:t xml:space="preserve">RX </w:t>
      </w:r>
      <w:r w:rsidR="00E9530B">
        <w:rPr>
          <w:sz w:val="36"/>
          <w:lang w:val="en-US"/>
        </w:rPr>
        <w:t xml:space="preserve">and Coexistence </w:t>
      </w:r>
      <w:r w:rsidR="00652B57">
        <w:rPr>
          <w:sz w:val="36"/>
          <w:lang w:val="en-US"/>
        </w:rPr>
        <w:t>Aspects</w:t>
      </w:r>
    </w:p>
    <w:p w14:paraId="43DC8C04" w14:textId="668D05E2" w:rsidR="00491162" w:rsidRDefault="00E9530B" w:rsidP="00E25B41">
      <w:pPr>
        <w:spacing w:after="0"/>
      </w:pPr>
      <w:r>
        <w:t xml:space="preserve">As discussed above, </w:t>
      </w:r>
      <w:r w:rsidRPr="00794F29">
        <w:t xml:space="preserve">the </w:t>
      </w:r>
      <w:r w:rsidR="00794F29" w:rsidRPr="00794F29">
        <w:t>state-of-the-art</w:t>
      </w:r>
      <w:r w:rsidRPr="00794F29">
        <w:t xml:space="preserve"> performance</w:t>
      </w:r>
      <w:r>
        <w:t xml:space="preserve"> of duplexers is better than the numbers used for LTE and NR. Assuming a 3dB better TX-RX </w:t>
      </w:r>
      <w:proofErr w:type="spellStart"/>
      <w:r>
        <w:t>isolationsand</w:t>
      </w:r>
      <w:proofErr w:type="spellEnd"/>
      <w:r>
        <w:t xml:space="preserve"> TX-antenna rejection, the same coexistence and REFSENS performances than PC3 should be achievable for PC2. This is provided that reliability and thermal aspects are well controlled and verified at least for the most demanding bands with </w:t>
      </w:r>
      <w:r w:rsidR="00FE66F7">
        <w:t>small duplex gap like Band 3.</w:t>
      </w:r>
    </w:p>
    <w:p w14:paraId="4B27A93C" w14:textId="77777777" w:rsidR="00794F29" w:rsidRDefault="00794F29" w:rsidP="00E25B41">
      <w:pPr>
        <w:spacing w:after="0"/>
      </w:pPr>
    </w:p>
    <w:p w14:paraId="6F800EC6" w14:textId="0729BCF1" w:rsidR="000F3D01" w:rsidRPr="00491162" w:rsidRDefault="00FE66F7" w:rsidP="00E25B41">
      <w:pPr>
        <w:spacing w:after="0"/>
        <w:rPr>
          <w:b/>
        </w:rPr>
      </w:pPr>
      <w:r w:rsidRPr="00FE66F7">
        <w:rPr>
          <w:b/>
        </w:rPr>
        <w:t xml:space="preserve">Proposal on </w:t>
      </w:r>
      <w:r w:rsidR="00491162">
        <w:rPr>
          <w:b/>
        </w:rPr>
        <w:t xml:space="preserve">UE </w:t>
      </w:r>
      <w:r w:rsidRPr="00FE66F7">
        <w:rPr>
          <w:b/>
        </w:rPr>
        <w:t>RX and coexistence:</w:t>
      </w:r>
      <w:r>
        <w:rPr>
          <w:b/>
        </w:rPr>
        <w:t xml:space="preserve"> </w:t>
      </w:r>
      <w:r w:rsidRPr="00491162">
        <w:rPr>
          <w:b/>
        </w:rPr>
        <w:t xml:space="preserve">revision </w:t>
      </w:r>
      <w:r w:rsidR="00794F29">
        <w:rPr>
          <w:b/>
        </w:rPr>
        <w:t xml:space="preserve">of </w:t>
      </w:r>
      <w:r w:rsidRPr="00491162">
        <w:rPr>
          <w:b/>
        </w:rPr>
        <w:t>REFSENS and coexistence specification for PC2 should wait for duplexer performance and reliability assessment based on well-defined peak and average power profile.</w:t>
      </w:r>
    </w:p>
    <w:p w14:paraId="7BE54F94" w14:textId="77777777" w:rsidR="00305289" w:rsidRDefault="00305289" w:rsidP="00305289">
      <w:pPr>
        <w:pStyle w:val="Heading1"/>
      </w:pPr>
      <w:r>
        <w:lastRenderedPageBreak/>
        <w:t>Conclusions</w:t>
      </w:r>
    </w:p>
    <w:p w14:paraId="272ACCE4" w14:textId="381D8CA6" w:rsidR="00305289" w:rsidRDefault="00305289" w:rsidP="00305289">
      <w:pPr>
        <w:spacing w:after="0"/>
        <w:jc w:val="both"/>
      </w:pPr>
      <w:r>
        <w:t xml:space="preserve">In this contribution, we </w:t>
      </w:r>
      <w:r w:rsidR="002F54A3">
        <w:t xml:space="preserve">provide </w:t>
      </w:r>
      <w:r w:rsidR="00C544B5">
        <w:t xml:space="preserve">a high level study of </w:t>
      </w:r>
      <w:r w:rsidR="00491162">
        <w:t xml:space="preserve">the impact of PC2 FDD operation on RF FE components in term of reliability and performance that will ultimately drive the associated UE requirements. </w:t>
      </w:r>
      <w:proofErr w:type="gramStart"/>
      <w:r w:rsidR="00491162">
        <w:t>the</w:t>
      </w:r>
      <w:proofErr w:type="gramEnd"/>
      <w:r w:rsidR="00491162">
        <w:t xml:space="preserve"> following proposals are made.</w:t>
      </w:r>
    </w:p>
    <w:p w14:paraId="74E2B3ED" w14:textId="77777777" w:rsidR="00491162" w:rsidRDefault="00491162" w:rsidP="00305289">
      <w:pPr>
        <w:spacing w:after="0"/>
        <w:jc w:val="both"/>
      </w:pPr>
    </w:p>
    <w:p w14:paraId="6F630A1B" w14:textId="77777777" w:rsidR="00794F29" w:rsidRPr="00847BE2" w:rsidRDefault="00794F29" w:rsidP="00794F29">
      <w:pPr>
        <w:spacing w:after="0"/>
        <w:rPr>
          <w:b/>
        </w:rPr>
      </w:pPr>
      <w:r w:rsidRPr="00847BE2">
        <w:rPr>
          <w:b/>
        </w:rPr>
        <w:t xml:space="preserve">Proposal on PC2 </w:t>
      </w:r>
      <w:r>
        <w:rPr>
          <w:b/>
        </w:rPr>
        <w:t>Power amplifier</w:t>
      </w:r>
      <w:r w:rsidRPr="00847BE2">
        <w:rPr>
          <w:b/>
        </w:rPr>
        <w:t>:</w:t>
      </w:r>
    </w:p>
    <w:p w14:paraId="45878E8A" w14:textId="77777777" w:rsidR="00794F29" w:rsidRDefault="00794F29" w:rsidP="00794F29">
      <w:pPr>
        <w:pStyle w:val="ListParagraph"/>
        <w:numPr>
          <w:ilvl w:val="0"/>
          <w:numId w:val="12"/>
        </w:numPr>
        <w:spacing w:after="0"/>
        <w:rPr>
          <w:b/>
        </w:rPr>
      </w:pPr>
      <w:r>
        <w:rPr>
          <w:b/>
        </w:rPr>
        <w:t>Only single antenna / power amplifier architecture is considered for FDD PC2</w:t>
      </w:r>
    </w:p>
    <w:p w14:paraId="7C743126" w14:textId="77777777" w:rsidR="00794F29" w:rsidRDefault="00794F29" w:rsidP="00794F29">
      <w:pPr>
        <w:pStyle w:val="ListParagraph"/>
        <w:numPr>
          <w:ilvl w:val="0"/>
          <w:numId w:val="12"/>
        </w:numPr>
        <w:spacing w:after="0"/>
        <w:rPr>
          <w:b/>
        </w:rPr>
      </w:pPr>
      <w:r>
        <w:rPr>
          <w:b/>
        </w:rPr>
        <w:t>Long term average power should be close to 23dBm for both SAR and thermal / power consumption aspects</w:t>
      </w:r>
    </w:p>
    <w:p w14:paraId="4FA1BE22" w14:textId="77777777" w:rsidR="00794F29" w:rsidRDefault="00794F29" w:rsidP="00794F29">
      <w:pPr>
        <w:pStyle w:val="ListParagraph"/>
        <w:numPr>
          <w:ilvl w:val="0"/>
          <w:numId w:val="12"/>
        </w:numPr>
        <w:spacing w:after="0"/>
        <w:rPr>
          <w:b/>
        </w:rPr>
      </w:pPr>
      <w:r>
        <w:rPr>
          <w:b/>
        </w:rPr>
        <w:t>Default 26dBm duty-cycle and duration shall be bounded accordingly and account for DTX</w:t>
      </w:r>
    </w:p>
    <w:p w14:paraId="4AC39613" w14:textId="0B07FD84" w:rsidR="00E76DD8" w:rsidRPr="00794F29" w:rsidRDefault="00794F29" w:rsidP="00794F29">
      <w:pPr>
        <w:pStyle w:val="ListParagraph"/>
        <w:numPr>
          <w:ilvl w:val="0"/>
          <w:numId w:val="12"/>
        </w:numPr>
        <w:spacing w:after="0"/>
        <w:rPr>
          <w:b/>
        </w:rPr>
      </w:pPr>
      <w:r w:rsidRPr="00794F29">
        <w:rPr>
          <w:b/>
        </w:rPr>
        <w:t>31 dB ACLR is assumed</w:t>
      </w:r>
    </w:p>
    <w:p w14:paraId="286D4D1D" w14:textId="77777777" w:rsidR="00794F29" w:rsidRDefault="00794F29" w:rsidP="00794F29">
      <w:pPr>
        <w:spacing w:after="0"/>
        <w:jc w:val="both"/>
      </w:pPr>
    </w:p>
    <w:p w14:paraId="76305281" w14:textId="77777777" w:rsidR="00794F29" w:rsidRDefault="00794F29" w:rsidP="00794F29">
      <w:pPr>
        <w:spacing w:after="0"/>
        <w:rPr>
          <w:b/>
        </w:rPr>
      </w:pPr>
      <w:r>
        <w:rPr>
          <w:b/>
        </w:rPr>
        <w:t>Proposal on duplexer:</w:t>
      </w:r>
    </w:p>
    <w:p w14:paraId="36DA091D" w14:textId="77777777" w:rsidR="00794F29" w:rsidRDefault="00794F29" w:rsidP="00794F29">
      <w:pPr>
        <w:pStyle w:val="ListParagraph"/>
        <w:numPr>
          <w:ilvl w:val="0"/>
          <w:numId w:val="14"/>
        </w:numPr>
        <w:spacing w:after="0"/>
        <w:rPr>
          <w:b/>
        </w:rPr>
      </w:pPr>
      <w:r w:rsidRPr="002E3613">
        <w:rPr>
          <w:b/>
        </w:rPr>
        <w:t>To assess reliability and thermal behavior of duplexers and ultimately the TX-RX and TX antenna performance assumptions for PC2 REFSEN</w:t>
      </w:r>
      <w:r>
        <w:rPr>
          <w:b/>
        </w:rPr>
        <w:t>S and band protection:</w:t>
      </w:r>
    </w:p>
    <w:p w14:paraId="659C66E3" w14:textId="77777777" w:rsidR="00794F29" w:rsidRDefault="00794F29" w:rsidP="00794F29">
      <w:pPr>
        <w:pStyle w:val="ListParagraph"/>
        <w:numPr>
          <w:ilvl w:val="1"/>
          <w:numId w:val="14"/>
        </w:numPr>
        <w:spacing w:after="0"/>
        <w:rPr>
          <w:b/>
        </w:rPr>
      </w:pPr>
      <w:r>
        <w:rPr>
          <w:b/>
        </w:rPr>
        <w:t>Peak and average power and thermal reliability and variability aspect should be studied with band 3 as example band</w:t>
      </w:r>
    </w:p>
    <w:p w14:paraId="3C240C00" w14:textId="77777777" w:rsidR="00794F29" w:rsidRDefault="00794F29" w:rsidP="00794F29">
      <w:pPr>
        <w:pStyle w:val="ListParagraph"/>
        <w:numPr>
          <w:ilvl w:val="1"/>
          <w:numId w:val="14"/>
        </w:numPr>
        <w:spacing w:after="0"/>
        <w:rPr>
          <w:b/>
        </w:rPr>
      </w:pPr>
      <w:r>
        <w:rPr>
          <w:b/>
        </w:rPr>
        <w:t>Long term average power should be close to 23dBm for both SAR and thermal/power consumption aspects</w:t>
      </w:r>
    </w:p>
    <w:p w14:paraId="4DED274D" w14:textId="77777777" w:rsidR="00794F29" w:rsidRDefault="00794F29" w:rsidP="00794F29">
      <w:pPr>
        <w:pStyle w:val="ListParagraph"/>
        <w:numPr>
          <w:ilvl w:val="1"/>
          <w:numId w:val="14"/>
        </w:numPr>
        <w:spacing w:after="0"/>
        <w:rPr>
          <w:b/>
        </w:rPr>
      </w:pPr>
      <w:r>
        <w:rPr>
          <w:b/>
        </w:rPr>
        <w:t>Default 26dBm duty-cycle and duration shall be bounded accordingly and account for DTX</w:t>
      </w:r>
      <w:bookmarkStart w:id="2" w:name="_GoBack"/>
      <w:bookmarkEnd w:id="2"/>
    </w:p>
    <w:p w14:paraId="1E09A3DE" w14:textId="77777777" w:rsidR="00794F29" w:rsidRDefault="00794F29" w:rsidP="00794F29">
      <w:pPr>
        <w:pStyle w:val="ListParagraph"/>
        <w:numPr>
          <w:ilvl w:val="0"/>
          <w:numId w:val="14"/>
        </w:numPr>
        <w:spacing w:after="0"/>
        <w:rPr>
          <w:b/>
        </w:rPr>
      </w:pPr>
      <w:r>
        <w:rPr>
          <w:b/>
        </w:rPr>
        <w:t>L</w:t>
      </w:r>
      <w:r w:rsidRPr="00E9530B">
        <w:rPr>
          <w:b/>
        </w:rPr>
        <w:t xml:space="preserve">egacy </w:t>
      </w:r>
      <w:r>
        <w:rPr>
          <w:b/>
        </w:rPr>
        <w:t xml:space="preserve">PC3 </w:t>
      </w:r>
      <w:r w:rsidRPr="00E9530B">
        <w:rPr>
          <w:b/>
        </w:rPr>
        <w:t xml:space="preserve">assumptions on </w:t>
      </w:r>
      <w:proofErr w:type="spellStart"/>
      <w:r w:rsidRPr="00E9530B">
        <w:rPr>
          <w:b/>
        </w:rPr>
        <w:t>Tx</w:t>
      </w:r>
      <w:proofErr w:type="spellEnd"/>
      <w:r w:rsidRPr="00E9530B">
        <w:rPr>
          <w:b/>
        </w:rPr>
        <w:t xml:space="preserve">-Rx isolation and TX-Ant </w:t>
      </w:r>
      <w:r>
        <w:rPr>
          <w:b/>
        </w:rPr>
        <w:t>can be re-used for PC2 as a starting point</w:t>
      </w:r>
    </w:p>
    <w:p w14:paraId="72E04EE4" w14:textId="77777777" w:rsidR="00794F29" w:rsidRDefault="00794F29" w:rsidP="00794F29">
      <w:pPr>
        <w:pStyle w:val="ListParagraph"/>
        <w:numPr>
          <w:ilvl w:val="0"/>
          <w:numId w:val="14"/>
        </w:numPr>
        <w:spacing w:after="0"/>
        <w:rPr>
          <w:b/>
        </w:rPr>
      </w:pPr>
      <w:r>
        <w:rPr>
          <w:b/>
        </w:rPr>
        <w:t>FFS if duplexer assumptions can be improved by 3dB to account for state-of-the-art performance depending on reliability and thermal aspects. This can be discussed per band</w:t>
      </w:r>
    </w:p>
    <w:p w14:paraId="3FC945FD" w14:textId="77777777" w:rsidR="00491162" w:rsidRDefault="00491162" w:rsidP="00491162">
      <w:pPr>
        <w:spacing w:after="0"/>
        <w:rPr>
          <w:b/>
        </w:rPr>
      </w:pPr>
    </w:p>
    <w:p w14:paraId="78238EC9" w14:textId="67423035" w:rsidR="00794F29" w:rsidRPr="00491162" w:rsidRDefault="00794F29" w:rsidP="00794F29">
      <w:pPr>
        <w:spacing w:after="0"/>
        <w:rPr>
          <w:b/>
        </w:rPr>
      </w:pPr>
      <w:r w:rsidRPr="00FE66F7">
        <w:rPr>
          <w:b/>
        </w:rPr>
        <w:t xml:space="preserve">Proposal on </w:t>
      </w:r>
      <w:r>
        <w:rPr>
          <w:b/>
        </w:rPr>
        <w:t xml:space="preserve">UE </w:t>
      </w:r>
      <w:r w:rsidRPr="00FE66F7">
        <w:rPr>
          <w:b/>
        </w:rPr>
        <w:t>RX and coexistence:</w:t>
      </w:r>
      <w:r>
        <w:rPr>
          <w:b/>
        </w:rPr>
        <w:t xml:space="preserve"> </w:t>
      </w:r>
      <w:r w:rsidRPr="00491162">
        <w:rPr>
          <w:b/>
        </w:rPr>
        <w:t xml:space="preserve">revision </w:t>
      </w:r>
      <w:r>
        <w:rPr>
          <w:b/>
        </w:rPr>
        <w:t xml:space="preserve">of </w:t>
      </w:r>
      <w:r w:rsidRPr="00491162">
        <w:rPr>
          <w:b/>
        </w:rPr>
        <w:t>REFSENS and coexistence specification for PC2 should wait for duplexer performance and reliability assessment based on well-defined peak and average power profile.</w:t>
      </w:r>
    </w:p>
    <w:p w14:paraId="03D6921F" w14:textId="77777777" w:rsidR="00F10F97" w:rsidRDefault="007321E3" w:rsidP="00C8525F">
      <w:pPr>
        <w:pStyle w:val="Heading1"/>
        <w:numPr>
          <w:ilvl w:val="0"/>
          <w:numId w:val="0"/>
        </w:numPr>
        <w:jc w:val="both"/>
      </w:pPr>
      <w:r>
        <w:t>R</w:t>
      </w:r>
      <w:r w:rsidR="00F10F97">
        <w:t>eferences</w:t>
      </w:r>
    </w:p>
    <w:p w14:paraId="6CD12A89" w14:textId="33714F67" w:rsidR="00674679" w:rsidRDefault="00674679" w:rsidP="00A43625">
      <w:r>
        <w:t>[1</w:t>
      </w:r>
      <w:r w:rsidRPr="00DD0023">
        <w:t>]</w:t>
      </w:r>
      <w:r>
        <w:t xml:space="preserve"> </w:t>
      </w:r>
      <w:r w:rsidR="00D10B92" w:rsidRPr="00D10B92">
        <w:t>RP-202870</w:t>
      </w:r>
      <w:r w:rsidR="00D10B92">
        <w:t xml:space="preserve"> </w:t>
      </w:r>
      <w:r w:rsidR="00D10B92" w:rsidRPr="00D10B92">
        <w:t>New SID Study on high power UE (power class 2) for one NR FDD band</w:t>
      </w:r>
      <w:r w:rsidR="00D10B92">
        <w:t xml:space="preserve">, </w:t>
      </w:r>
      <w:r w:rsidR="00D10B92" w:rsidRPr="00D10B92">
        <w:t>China Unicom</w:t>
      </w:r>
      <w:r w:rsidR="00BD166C">
        <w:t>, RAN</w:t>
      </w:r>
      <w:r>
        <w:t>#9</w:t>
      </w:r>
      <w:r w:rsidR="00BD166C">
        <w:t>0</w:t>
      </w:r>
      <w:r>
        <w:t>e</w:t>
      </w:r>
    </w:p>
    <w:sectPr w:rsidR="00674679" w:rsidSect="00826CB9">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1C69A" w14:textId="77777777" w:rsidR="00F0627A" w:rsidRDefault="00F0627A">
      <w:r>
        <w:separator/>
      </w:r>
    </w:p>
  </w:endnote>
  <w:endnote w:type="continuationSeparator" w:id="0">
    <w:p w14:paraId="6C70AD53" w14:textId="77777777" w:rsidR="00F0627A" w:rsidRDefault="00F0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2B6FFD" w:rsidRDefault="002B6FF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7B1B1C" w14:textId="77777777" w:rsidR="00F0627A" w:rsidRDefault="00F0627A">
      <w:r>
        <w:separator/>
      </w:r>
    </w:p>
  </w:footnote>
  <w:footnote w:type="continuationSeparator" w:id="0">
    <w:p w14:paraId="0CDADF17" w14:textId="77777777" w:rsidR="00F0627A" w:rsidRDefault="00F06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40C92849"/>
    <w:multiLevelType w:val="hybridMultilevel"/>
    <w:tmpl w:val="7B0E3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56455DAA"/>
    <w:multiLevelType w:val="hybridMultilevel"/>
    <w:tmpl w:val="0372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630F41"/>
    <w:multiLevelType w:val="hybridMultilevel"/>
    <w:tmpl w:val="A8CE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8540940"/>
    <w:multiLevelType w:val="hybridMultilevel"/>
    <w:tmpl w:val="392242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6"/>
  </w:num>
  <w:num w:numId="4">
    <w:abstractNumId w:val="13"/>
  </w:num>
  <w:num w:numId="5">
    <w:abstractNumId w:val="3"/>
  </w:num>
  <w:num w:numId="6">
    <w:abstractNumId w:val="0"/>
  </w:num>
  <w:num w:numId="7">
    <w:abstractNumId w:val="7"/>
  </w:num>
  <w:num w:numId="8">
    <w:abstractNumId w:val="10"/>
  </w:num>
  <w:num w:numId="9">
    <w:abstractNumId w:val="12"/>
  </w:num>
  <w:num w:numId="10">
    <w:abstractNumId w:val="1"/>
  </w:num>
  <w:num w:numId="11">
    <w:abstractNumId w:val="8"/>
  </w:num>
  <w:num w:numId="12">
    <w:abstractNumId w:val="9"/>
  </w:num>
  <w:num w:numId="13">
    <w:abstractNumId w:val="5"/>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0C91"/>
    <w:rsid w:val="000E1093"/>
    <w:rsid w:val="000E1177"/>
    <w:rsid w:val="000E1801"/>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D01"/>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47CAD"/>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66A"/>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0B6"/>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F80"/>
    <w:rsid w:val="00260116"/>
    <w:rsid w:val="00260424"/>
    <w:rsid w:val="00260852"/>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057"/>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35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27DD9"/>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168C"/>
    <w:rsid w:val="003E203F"/>
    <w:rsid w:val="003E2670"/>
    <w:rsid w:val="003E2A32"/>
    <w:rsid w:val="003E3722"/>
    <w:rsid w:val="003E3882"/>
    <w:rsid w:val="003E3BB1"/>
    <w:rsid w:val="003E4724"/>
    <w:rsid w:val="003E50DB"/>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62A"/>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394A"/>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2AEA"/>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4F29"/>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07D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0F7F"/>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6CA7"/>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2DE7"/>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54"/>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C73"/>
    <w:rsid w:val="00F05F67"/>
    <w:rsid w:val="00F061F3"/>
    <w:rsid w:val="00F0627A"/>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55037-650B-4D15-98F7-1187595C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3</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9664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2021-01-14T17:16:00Z</dcterms:created>
  <dcterms:modified xsi:type="dcterms:W3CDTF">2021-01-15T10:51:00Z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